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DE" w:rsidRPr="000B2874" w:rsidRDefault="007605DE" w:rsidP="00E2628B">
      <w:pPr>
        <w:pStyle w:val="Rubrik1"/>
      </w:pPr>
      <w:bookmarkStart w:id="0" w:name="_Toc349293170"/>
      <w:r w:rsidRPr="000B2874">
        <w:t>Modellskattningar</w:t>
      </w:r>
      <w:bookmarkEnd w:id="0"/>
    </w:p>
    <w:p w:rsidR="007605DE" w:rsidRPr="002559D6" w:rsidRDefault="007605DE" w:rsidP="007605DE">
      <w:r w:rsidRPr="002559D6">
        <w:t>Modeller med bäst anpassning ger inte alltid de bästa prognoserna. Grundantaganden, till exempel vilka modeller som testas, påverkar i viss grad prognosutfallet.</w:t>
      </w:r>
    </w:p>
    <w:p w:rsidR="007605DE" w:rsidRPr="002559D6" w:rsidRDefault="007605DE" w:rsidP="007605DE">
      <w:r w:rsidRPr="002559D6">
        <w:t xml:space="preserve">Modellerna har i </w:t>
      </w:r>
      <w:r w:rsidR="0064651B">
        <w:t>många</w:t>
      </w:r>
      <w:r w:rsidRPr="002559D6">
        <w:t xml:space="preserve"> fall valts utifrån bästa modellanpassning, det vill säga hur bra modellen är anpassad </w:t>
      </w:r>
      <w:r w:rsidR="0064651B">
        <w:t>till det kända datamaterialet. Andra faktorer som ofta beaktas är den så kallade residualdiagnostiken.</w:t>
      </w:r>
      <w:r w:rsidRPr="002559D6">
        <w:t xml:space="preserve"> </w:t>
      </w:r>
    </w:p>
    <w:p w:rsidR="007605DE" w:rsidRPr="002559D6" w:rsidRDefault="007605DE" w:rsidP="007605DE">
      <w:r w:rsidRPr="002559D6">
        <w:t xml:space="preserve">I vissa fall innehåller tidsserierna så kallade extremvärden (outliers), det vill säga värden som avviker extremt mycket från ett medelvärde eller en trend. I de fall </w:t>
      </w:r>
      <w:r w:rsidR="00DD75BD" w:rsidRPr="002559D6">
        <w:t>extremvärdena</w:t>
      </w:r>
      <w:r w:rsidRPr="002559D6">
        <w:t xml:space="preserve"> inte bedöms återkomma i framtiden har de justerats. Nedan beskrivs och motiveras outlierhanteringen. </w:t>
      </w:r>
    </w:p>
    <w:p w:rsidR="007605DE" w:rsidRPr="002559D6" w:rsidRDefault="007605DE" w:rsidP="00E2628B">
      <w:pPr>
        <w:pStyle w:val="Rubrik1"/>
      </w:pPr>
      <w:r w:rsidRPr="002559D6">
        <w:t>Rikspolisstyrelsen</w:t>
      </w:r>
    </w:p>
    <w:p w:rsidR="007605DE" w:rsidRDefault="007605DE" w:rsidP="007605DE">
      <w:r w:rsidRPr="002559D6">
        <w:t xml:space="preserve">För kategorin </w:t>
      </w:r>
      <w:r>
        <w:rPr>
          <w:i/>
        </w:rPr>
        <w:t>Narkotikabrott</w:t>
      </w:r>
      <w:r w:rsidRPr="002559D6">
        <w:t xml:space="preserve"> bedöms inte de modeller som har en bättre statistisk anpassning ge en trovärdig prognos över utflödet. Därför </w:t>
      </w:r>
      <w:r w:rsidR="0038029C">
        <w:t>sätts</w:t>
      </w:r>
      <w:r w:rsidRPr="002559D6">
        <w:t xml:space="preserve"> värdena i prognosen </w:t>
      </w:r>
      <w:r w:rsidR="0038029C">
        <w:t>till</w:t>
      </w:r>
      <w:r w:rsidRPr="002559D6">
        <w:t xml:space="preserve"> 201</w:t>
      </w:r>
      <w:r w:rsidR="0038029C">
        <w:t>3 års värde</w:t>
      </w:r>
      <w:r w:rsidRPr="002559D6">
        <w:t xml:space="preserve">. </w:t>
      </w:r>
    </w:p>
    <w:p w:rsidR="007605DE" w:rsidRDefault="007605DE" w:rsidP="007605DE">
      <w:r>
        <w:t xml:space="preserve">För kategorin </w:t>
      </w:r>
      <w:r>
        <w:rPr>
          <w:i/>
        </w:rPr>
        <w:t>tillgrepp i butik</w:t>
      </w:r>
      <w:r>
        <w:t xml:space="preserve"> har hänsyn tagits till att en okänd mängd ärenden försvunnit till brottskategorin </w:t>
      </w:r>
      <w:r>
        <w:rPr>
          <w:i/>
        </w:rPr>
        <w:t xml:space="preserve">Tillgreppsbrott (exkl. i butik) </w:t>
      </w:r>
      <w:r>
        <w:t>i och med införandet av nya brottskoder gällande stöld av drivmedel. Vissa sådana stölder har tidigare registrerats som tillgrepp i butik (framför allt när det rört så kallad smitningstankning vid bensinmack). Därför har ingen statistisk modell tillämpats.</w:t>
      </w:r>
    </w:p>
    <w:p w:rsidR="007605DE" w:rsidRPr="006E517B" w:rsidRDefault="007605DE" w:rsidP="007605DE">
      <w:r>
        <w:t xml:space="preserve">För utflödesprognoserna gällande </w:t>
      </w:r>
      <w:r>
        <w:rPr>
          <w:i/>
        </w:rPr>
        <w:t xml:space="preserve">Våldsbrott, Skadegörelsebrott, Trafikbrott </w:t>
      </w:r>
      <w:r>
        <w:t xml:space="preserve">och </w:t>
      </w:r>
      <w:r>
        <w:rPr>
          <w:i/>
        </w:rPr>
        <w:t>Övriga BrB</w:t>
      </w:r>
      <w:r w:rsidR="00ED0BFE">
        <w:rPr>
          <w:i/>
        </w:rPr>
        <w:t>–</w:t>
      </w:r>
      <w:r>
        <w:rPr>
          <w:i/>
        </w:rPr>
        <w:t xml:space="preserve">brott </w:t>
      </w:r>
      <w:r>
        <w:t>har redovisningsandelen (andelen ärenden redovisade till åklagare av inkomna ärenden) applicerats på prognoserna över inflödet för att få fram prognoserna över utflödet.</w:t>
      </w:r>
    </w:p>
    <w:p w:rsidR="007605DE" w:rsidRDefault="007605DE" w:rsidP="00E2628B">
      <w:pPr>
        <w:pStyle w:val="Rubrik2"/>
      </w:pPr>
      <w:r w:rsidRPr="002559D6">
        <w:t>Prognosmodeller över Polisens inflöde</w:t>
      </w:r>
    </w:p>
    <w:p w:rsidR="007605DE" w:rsidRDefault="007605DE" w:rsidP="007605DE">
      <w:pPr>
        <w:pStyle w:val="Rubrik4"/>
        <w:rPr>
          <w:b w:val="0"/>
          <w:i w:val="0"/>
          <w:color w:val="auto"/>
        </w:rPr>
      </w:pPr>
      <w:r w:rsidRPr="00584161">
        <w:rPr>
          <w:b w:val="0"/>
          <w:i w:val="0"/>
          <w:color w:val="auto"/>
        </w:rPr>
        <w:t xml:space="preserve">För att ta fram prognos över inkomna våldsbrottsärenden har 2 olika modeller kombinerats. </w:t>
      </w:r>
    </w:p>
    <w:p w:rsidR="00FC1281" w:rsidRPr="00FC1281" w:rsidRDefault="00FC1281" w:rsidP="00FC1281"/>
    <w:p w:rsidR="007605DE" w:rsidRPr="00FA357C" w:rsidRDefault="00FC1281" w:rsidP="007605DE">
      <w:r w:rsidRPr="00707B97">
        <w:rPr>
          <w:rFonts w:cs="Calibri"/>
          <w:b/>
          <w:i/>
          <w:iCs/>
          <w:color w:val="000000"/>
          <w:sz w:val="16"/>
          <w:szCs w:val="16"/>
        </w:rPr>
        <w:t>Tabell 1. Modell över kategorin Våldsbrott (2000–2013)</w:t>
      </w:r>
    </w:p>
    <w:tbl>
      <w:tblPr>
        <w:tblStyle w:val="Ljuslista-dekorfrg3"/>
        <w:tblW w:w="7196" w:type="dxa"/>
        <w:tblLook w:val="04A0" w:firstRow="1" w:lastRow="0" w:firstColumn="1" w:lastColumn="0" w:noHBand="0" w:noVBand="1"/>
      </w:tblPr>
      <w:tblGrid>
        <w:gridCol w:w="2221"/>
        <w:gridCol w:w="3182"/>
        <w:gridCol w:w="1793"/>
      </w:tblGrid>
      <w:tr w:rsidR="007605DE" w:rsidRPr="00FC1281" w:rsidTr="00932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C1281" w:rsidRDefault="007605DE" w:rsidP="00FB33C7">
            <w:pPr>
              <w:rPr>
                <w:rFonts w:cs="Calibri"/>
                <w:color w:val="000000"/>
                <w:sz w:val="16"/>
                <w:szCs w:val="16"/>
              </w:rPr>
            </w:pPr>
            <w:r w:rsidRPr="00FC1281">
              <w:rPr>
                <w:rFonts w:cs="Calibri"/>
                <w:color w:val="000000"/>
                <w:sz w:val="16"/>
                <w:szCs w:val="16"/>
              </w:rPr>
              <w:t>Parameter</w:t>
            </w:r>
          </w:p>
        </w:tc>
        <w:tc>
          <w:tcPr>
            <w:tcW w:w="3182" w:type="dxa"/>
            <w:noWrap/>
            <w:hideMark/>
          </w:tcPr>
          <w:p w:rsidR="007605DE" w:rsidRPr="00FC1281"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FC1281">
              <w:rPr>
                <w:rFonts w:cs="Calibri"/>
                <w:color w:val="000000"/>
                <w:sz w:val="16"/>
                <w:szCs w:val="16"/>
              </w:rPr>
              <w:t>Koefficient</w:t>
            </w:r>
          </w:p>
        </w:tc>
        <w:tc>
          <w:tcPr>
            <w:tcW w:w="1793" w:type="dxa"/>
            <w:noWrap/>
            <w:hideMark/>
          </w:tcPr>
          <w:p w:rsidR="007605DE" w:rsidRPr="00FC1281"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FC1281">
              <w:rPr>
                <w:rFonts w:cs="Calibri"/>
                <w:color w:val="000000"/>
                <w:sz w:val="16"/>
                <w:szCs w:val="16"/>
              </w:rPr>
              <w:t>p</w:t>
            </w:r>
            <w:r w:rsidR="00ED0BFE" w:rsidRPr="00FC1281">
              <w:rPr>
                <w:rFonts w:cs="Calibri"/>
                <w:color w:val="000000"/>
                <w:sz w:val="16"/>
                <w:szCs w:val="16"/>
              </w:rPr>
              <w:t>–</w:t>
            </w:r>
            <w:r w:rsidRPr="00FC1281">
              <w:rPr>
                <w:rFonts w:cs="Calibri"/>
                <w:color w:val="000000"/>
                <w:sz w:val="16"/>
                <w:szCs w:val="16"/>
              </w:rPr>
              <w:t>värde</w:t>
            </w:r>
          </w:p>
        </w:tc>
      </w:tr>
      <w:tr w:rsidR="007605DE" w:rsidRPr="00FC1281"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C1281" w:rsidRDefault="007605DE" w:rsidP="00FB33C7">
            <w:pPr>
              <w:rPr>
                <w:rFonts w:cs="Calibri"/>
                <w:b w:val="0"/>
                <w:color w:val="000000"/>
                <w:sz w:val="16"/>
                <w:szCs w:val="16"/>
              </w:rPr>
            </w:pPr>
            <w:r w:rsidRPr="00FC1281">
              <w:rPr>
                <w:rFonts w:cs="Calibri"/>
                <w:b w:val="0"/>
                <w:color w:val="000000"/>
                <w:sz w:val="16"/>
                <w:szCs w:val="16"/>
              </w:rPr>
              <w:t>Intercept</w:t>
            </w:r>
          </w:p>
        </w:tc>
        <w:tc>
          <w:tcPr>
            <w:tcW w:w="3182" w:type="dxa"/>
            <w:noWrap/>
          </w:tcPr>
          <w:p w:rsidR="007605DE" w:rsidRPr="00FC1281"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C1281">
              <w:rPr>
                <w:rFonts w:cs="Calibri"/>
                <w:color w:val="000000"/>
                <w:sz w:val="16"/>
                <w:szCs w:val="16"/>
              </w:rPr>
              <w:t>89 893</w:t>
            </w:r>
          </w:p>
        </w:tc>
        <w:tc>
          <w:tcPr>
            <w:tcW w:w="1793" w:type="dxa"/>
            <w:noWrap/>
          </w:tcPr>
          <w:p w:rsidR="007605DE" w:rsidRPr="00FC1281"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C1281">
              <w:rPr>
                <w:rFonts w:cs="Calibri"/>
                <w:color w:val="000000"/>
                <w:sz w:val="16"/>
                <w:szCs w:val="16"/>
              </w:rPr>
              <w:t>&lt; 0,001</w:t>
            </w:r>
          </w:p>
        </w:tc>
      </w:tr>
      <w:tr w:rsidR="007605DE" w:rsidRPr="00FC1281" w:rsidTr="009324E4">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C1281" w:rsidRDefault="007605DE" w:rsidP="00FB33C7">
            <w:pPr>
              <w:rPr>
                <w:rFonts w:cs="Calibri"/>
                <w:b w:val="0"/>
                <w:color w:val="000000"/>
                <w:sz w:val="16"/>
                <w:szCs w:val="16"/>
              </w:rPr>
            </w:pPr>
            <w:r w:rsidRPr="00FC1281">
              <w:rPr>
                <w:rFonts w:cs="Calibri"/>
                <w:b w:val="0"/>
                <w:color w:val="000000"/>
                <w:sz w:val="16"/>
                <w:szCs w:val="16"/>
              </w:rPr>
              <w:t>Tid</w:t>
            </w:r>
          </w:p>
        </w:tc>
        <w:tc>
          <w:tcPr>
            <w:tcW w:w="3182" w:type="dxa"/>
            <w:noWrap/>
          </w:tcPr>
          <w:p w:rsidR="007605DE" w:rsidRPr="00FC1281"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FC1281">
              <w:rPr>
                <w:rFonts w:cs="Calibri"/>
                <w:color w:val="000000"/>
                <w:sz w:val="16"/>
                <w:szCs w:val="16"/>
              </w:rPr>
              <w:t>3 618</w:t>
            </w:r>
          </w:p>
        </w:tc>
        <w:tc>
          <w:tcPr>
            <w:tcW w:w="1793" w:type="dxa"/>
            <w:noWrap/>
          </w:tcPr>
          <w:p w:rsidR="007605DE" w:rsidRPr="00FC1281"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FC1281">
              <w:rPr>
                <w:rFonts w:cs="Calibri"/>
                <w:color w:val="000000"/>
                <w:sz w:val="16"/>
                <w:szCs w:val="16"/>
              </w:rPr>
              <w:t>&lt; 0,001</w:t>
            </w:r>
          </w:p>
        </w:tc>
      </w:tr>
      <w:tr w:rsidR="007605DE" w:rsidRPr="00FC1281" w:rsidTr="009324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C1281" w:rsidRDefault="00E739E4" w:rsidP="00707B97">
            <w:pPr>
              <w:rPr>
                <w:rFonts w:cs="Calibri"/>
                <w:b w:val="0"/>
                <w:color w:val="000000"/>
                <w:sz w:val="16"/>
                <w:szCs w:val="16"/>
              </w:rPr>
            </w:pPr>
            <m:oMath>
              <m:sSup>
                <m:sSupPr>
                  <m:ctrlPr>
                    <w:rPr>
                      <w:rFonts w:ascii="Cambria Math" w:hAnsi="Cambria Math" w:cs="Calibri"/>
                      <w:b w:val="0"/>
                      <w:color w:val="000000"/>
                      <w:sz w:val="16"/>
                      <w:szCs w:val="16"/>
                    </w:rPr>
                  </m:ctrlPr>
                </m:sSupPr>
                <m:e>
                  <m:r>
                    <m:rPr>
                      <m:sty m:val="b"/>
                    </m:rPr>
                    <w:rPr>
                      <w:rFonts w:ascii="Cambria Math" w:hAnsi="Cambria Math" w:cs="Calibri"/>
                      <w:color w:val="000000"/>
                      <w:sz w:val="16"/>
                      <w:szCs w:val="16"/>
                    </w:rPr>
                    <m:t>R</m:t>
                  </m:r>
                </m:e>
                <m:sup>
                  <m:r>
                    <m:rPr>
                      <m:sty m:val="b"/>
                    </m:rPr>
                    <w:rPr>
                      <w:rFonts w:ascii="Cambria Math" w:hAnsi="Cambria Math" w:cs="Calibri"/>
                      <w:color w:val="000000"/>
                      <w:sz w:val="16"/>
                      <w:szCs w:val="16"/>
                    </w:rPr>
                    <m:t>2</m:t>
                  </m:r>
                </m:sup>
              </m:sSup>
              <m:r>
                <m:rPr>
                  <m:sty m:val="bi"/>
                </m:rPr>
                <w:rPr>
                  <w:rFonts w:ascii="Cambria Math" w:hAnsi="Cambria Math" w:cs="Calibri"/>
                  <w:color w:val="000000"/>
                  <w:sz w:val="16"/>
                  <w:szCs w:val="16"/>
                </w:rPr>
                <m:t xml:space="preserve">  </m:t>
              </m:r>
            </m:oMath>
            <w:r w:rsidR="007605DE" w:rsidRPr="00FC1281">
              <w:rPr>
                <w:rFonts w:cs="Calibri"/>
                <w:b w:val="0"/>
                <w:color w:val="000000"/>
                <w:sz w:val="16"/>
                <w:szCs w:val="16"/>
              </w:rPr>
              <w:t>= 0,83</w:t>
            </w:r>
          </w:p>
        </w:tc>
        <w:tc>
          <w:tcPr>
            <w:tcW w:w="3182" w:type="dxa"/>
            <w:noWrap/>
            <w:hideMark/>
          </w:tcPr>
          <w:p w:rsidR="007605DE" w:rsidRPr="00FC1281" w:rsidRDefault="007605DE" w:rsidP="00FC1281">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C1281">
              <w:rPr>
                <w:rFonts w:cs="Calibri"/>
                <w:color w:val="000000"/>
                <w:sz w:val="16"/>
                <w:szCs w:val="16"/>
              </w:rPr>
              <w:t>Durbin</w:t>
            </w:r>
            <w:r w:rsidR="00ED0BFE" w:rsidRPr="00FC1281">
              <w:rPr>
                <w:rFonts w:cs="Calibri"/>
                <w:color w:val="000000"/>
                <w:sz w:val="16"/>
                <w:szCs w:val="16"/>
              </w:rPr>
              <w:t>–</w:t>
            </w:r>
            <w:r w:rsidRPr="00FC1281">
              <w:rPr>
                <w:rFonts w:cs="Calibri"/>
                <w:color w:val="000000"/>
                <w:sz w:val="16"/>
                <w:szCs w:val="16"/>
              </w:rPr>
              <w:t>Watson = 0,43</w:t>
            </w:r>
          </w:p>
        </w:tc>
        <w:tc>
          <w:tcPr>
            <w:tcW w:w="1793" w:type="dxa"/>
            <w:noWrap/>
            <w:hideMark/>
          </w:tcPr>
          <w:p w:rsidR="007605DE" w:rsidRPr="00FC1281" w:rsidRDefault="007605DE" w:rsidP="00707B97">
            <w:pP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p>
        </w:tc>
      </w:tr>
    </w:tbl>
    <w:p w:rsidR="007605DE" w:rsidRDefault="007605DE" w:rsidP="007605DE">
      <w:pPr>
        <w:pStyle w:val="Rubrik4"/>
        <w:rPr>
          <w:b w:val="0"/>
          <w:i w:val="0"/>
          <w:color w:val="auto"/>
        </w:rPr>
      </w:pPr>
      <w:r>
        <w:rPr>
          <w:b w:val="0"/>
          <w:i w:val="0"/>
          <w:color w:val="auto"/>
        </w:rPr>
        <w:t xml:space="preserve">Ovanstående är en </w:t>
      </w:r>
      <w:r w:rsidRPr="00584161">
        <w:rPr>
          <w:b w:val="0"/>
          <w:i w:val="0"/>
          <w:color w:val="auto"/>
        </w:rPr>
        <w:t>linjär modell</w:t>
      </w:r>
      <w:r>
        <w:rPr>
          <w:b w:val="0"/>
          <w:i w:val="0"/>
          <w:color w:val="auto"/>
        </w:rPr>
        <w:t xml:space="preserve"> som kombinerats med modellen i tabellen nedan.</w:t>
      </w:r>
    </w:p>
    <w:p w:rsidR="00FC1281" w:rsidRDefault="00FC1281" w:rsidP="00FC1281">
      <w:pPr>
        <w:rPr>
          <w:rFonts w:cs="Calibri"/>
          <w:b/>
          <w:i/>
          <w:iCs/>
          <w:color w:val="000000"/>
          <w:sz w:val="16"/>
          <w:szCs w:val="16"/>
        </w:rPr>
      </w:pPr>
    </w:p>
    <w:p w:rsidR="00FC1281" w:rsidRPr="00FC1281" w:rsidRDefault="00FC1281" w:rsidP="00FC1281">
      <w:pPr>
        <w:rPr>
          <w:rFonts w:cs="Calibri"/>
          <w:b/>
          <w:i/>
          <w:iCs/>
          <w:color w:val="000000"/>
          <w:sz w:val="16"/>
          <w:szCs w:val="16"/>
        </w:rPr>
      </w:pPr>
      <w:r w:rsidRPr="00FC1281">
        <w:rPr>
          <w:rFonts w:cs="Calibri"/>
          <w:b/>
          <w:i/>
          <w:iCs/>
          <w:color w:val="000000"/>
          <w:sz w:val="16"/>
          <w:szCs w:val="16"/>
        </w:rPr>
        <w:t>Tabell 2. Modell över kategorin Våldsbrott (2000–2013</w:t>
      </w:r>
      <w:r>
        <w:rPr>
          <w:rFonts w:cs="Calibri"/>
          <w:b/>
          <w:i/>
          <w:iCs/>
          <w:color w:val="000000"/>
          <w:sz w:val="16"/>
          <w:szCs w:val="16"/>
        </w:rPr>
        <w:t>)</w:t>
      </w:r>
    </w:p>
    <w:tbl>
      <w:tblPr>
        <w:tblStyle w:val="Ljuslista-dekorfrg3"/>
        <w:tblW w:w="7196" w:type="dxa"/>
        <w:tblLook w:val="04A0" w:firstRow="1" w:lastRow="0" w:firstColumn="1" w:lastColumn="0" w:noHBand="0" w:noVBand="1"/>
      </w:tblPr>
      <w:tblGrid>
        <w:gridCol w:w="2221"/>
        <w:gridCol w:w="3182"/>
        <w:gridCol w:w="1793"/>
      </w:tblGrid>
      <w:tr w:rsidR="007605DE" w:rsidRPr="00FC1281" w:rsidTr="00932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C1281" w:rsidRDefault="007605DE" w:rsidP="00FB33C7">
            <w:pPr>
              <w:rPr>
                <w:rFonts w:cs="Calibri"/>
                <w:color w:val="000000"/>
                <w:sz w:val="16"/>
                <w:szCs w:val="16"/>
              </w:rPr>
            </w:pPr>
            <w:r w:rsidRPr="00FC1281">
              <w:rPr>
                <w:rFonts w:cs="Calibri"/>
                <w:color w:val="000000"/>
                <w:sz w:val="16"/>
                <w:szCs w:val="16"/>
              </w:rPr>
              <w:t>Parameter</w:t>
            </w:r>
          </w:p>
        </w:tc>
        <w:tc>
          <w:tcPr>
            <w:tcW w:w="3182" w:type="dxa"/>
            <w:noWrap/>
            <w:hideMark/>
          </w:tcPr>
          <w:p w:rsidR="007605DE" w:rsidRPr="00FC1281"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FC1281">
              <w:rPr>
                <w:rFonts w:cs="Calibri"/>
                <w:color w:val="000000"/>
                <w:sz w:val="16"/>
                <w:szCs w:val="16"/>
              </w:rPr>
              <w:t>Koefficient</w:t>
            </w:r>
          </w:p>
        </w:tc>
        <w:tc>
          <w:tcPr>
            <w:tcW w:w="1793" w:type="dxa"/>
            <w:noWrap/>
            <w:hideMark/>
          </w:tcPr>
          <w:p w:rsidR="007605DE" w:rsidRPr="00FC1281"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FC1281">
              <w:rPr>
                <w:rFonts w:cs="Calibri"/>
                <w:color w:val="000000"/>
                <w:sz w:val="16"/>
                <w:szCs w:val="16"/>
              </w:rPr>
              <w:t>p</w:t>
            </w:r>
            <w:r w:rsidR="00ED0BFE" w:rsidRPr="00FC1281">
              <w:rPr>
                <w:rFonts w:cs="Calibri"/>
                <w:color w:val="000000"/>
                <w:sz w:val="16"/>
                <w:szCs w:val="16"/>
              </w:rPr>
              <w:t>–</w:t>
            </w:r>
            <w:r w:rsidRPr="00FC1281">
              <w:rPr>
                <w:rFonts w:cs="Calibri"/>
                <w:color w:val="000000"/>
                <w:sz w:val="16"/>
                <w:szCs w:val="16"/>
              </w:rPr>
              <w:t>värde</w:t>
            </w:r>
          </w:p>
        </w:tc>
      </w:tr>
      <w:tr w:rsidR="007605DE" w:rsidRPr="00FC1281"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C1281" w:rsidRDefault="007605DE" w:rsidP="00FB33C7">
            <w:pPr>
              <w:rPr>
                <w:rFonts w:cs="Calibri"/>
                <w:b w:val="0"/>
                <w:color w:val="000000"/>
                <w:sz w:val="16"/>
                <w:szCs w:val="16"/>
              </w:rPr>
            </w:pPr>
            <w:r w:rsidRPr="00FC1281">
              <w:rPr>
                <w:rFonts w:cs="Calibri"/>
                <w:b w:val="0"/>
                <w:color w:val="000000"/>
                <w:sz w:val="16"/>
                <w:szCs w:val="16"/>
              </w:rPr>
              <w:t>Alpha</w:t>
            </w:r>
          </w:p>
        </w:tc>
        <w:tc>
          <w:tcPr>
            <w:tcW w:w="3182" w:type="dxa"/>
            <w:noWrap/>
          </w:tcPr>
          <w:p w:rsidR="007605DE" w:rsidRPr="00FC1281"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C1281">
              <w:rPr>
                <w:rFonts w:cs="Calibri"/>
                <w:color w:val="000000"/>
                <w:sz w:val="16"/>
                <w:szCs w:val="16"/>
              </w:rPr>
              <w:t>0,900</w:t>
            </w:r>
          </w:p>
        </w:tc>
        <w:tc>
          <w:tcPr>
            <w:tcW w:w="1793" w:type="dxa"/>
            <w:noWrap/>
          </w:tcPr>
          <w:p w:rsidR="007605DE" w:rsidRPr="00FC1281"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C1281">
              <w:rPr>
                <w:rFonts w:cs="Calibri"/>
                <w:color w:val="000000"/>
                <w:sz w:val="16"/>
                <w:szCs w:val="16"/>
              </w:rPr>
              <w:t>0,101</w:t>
            </w:r>
          </w:p>
        </w:tc>
      </w:tr>
      <w:tr w:rsidR="007605DE" w:rsidRPr="00FC1281" w:rsidTr="009324E4">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C1281" w:rsidRDefault="007605DE" w:rsidP="00FB33C7">
            <w:pPr>
              <w:rPr>
                <w:rFonts w:cs="Calibri"/>
                <w:b w:val="0"/>
                <w:color w:val="000000"/>
                <w:sz w:val="16"/>
                <w:szCs w:val="16"/>
              </w:rPr>
            </w:pPr>
            <w:r w:rsidRPr="00FC1281">
              <w:rPr>
                <w:rFonts w:cs="Calibri"/>
                <w:b w:val="0"/>
                <w:color w:val="000000"/>
                <w:sz w:val="16"/>
                <w:szCs w:val="16"/>
              </w:rPr>
              <w:t>Gamma</w:t>
            </w:r>
          </w:p>
        </w:tc>
        <w:tc>
          <w:tcPr>
            <w:tcW w:w="3182" w:type="dxa"/>
            <w:noWrap/>
          </w:tcPr>
          <w:p w:rsidR="007605DE" w:rsidRPr="00FC1281"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FC1281">
              <w:rPr>
                <w:rFonts w:cs="Calibri"/>
                <w:color w:val="000000"/>
                <w:sz w:val="16"/>
                <w:szCs w:val="16"/>
              </w:rPr>
              <w:t>1,000</w:t>
            </w:r>
          </w:p>
        </w:tc>
        <w:tc>
          <w:tcPr>
            <w:tcW w:w="1793" w:type="dxa"/>
            <w:noWrap/>
          </w:tcPr>
          <w:p w:rsidR="007605DE" w:rsidRPr="00FC1281"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FC1281">
              <w:rPr>
                <w:rFonts w:cs="Calibri"/>
                <w:color w:val="000000"/>
                <w:sz w:val="16"/>
                <w:szCs w:val="16"/>
              </w:rPr>
              <w:t>0,421</w:t>
            </w:r>
          </w:p>
        </w:tc>
      </w:tr>
      <w:tr w:rsidR="007605DE" w:rsidRPr="00FC1281" w:rsidTr="009324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C1281" w:rsidRDefault="007605DE" w:rsidP="00FB33C7">
            <w:pPr>
              <w:rPr>
                <w:rFonts w:cs="Calibri"/>
                <w:b w:val="0"/>
                <w:color w:val="000000"/>
                <w:sz w:val="16"/>
                <w:szCs w:val="16"/>
              </w:rPr>
            </w:pPr>
            <w:r w:rsidRPr="00FC1281">
              <w:rPr>
                <w:rFonts w:cs="Calibri"/>
                <w:b w:val="0"/>
                <w:color w:val="000000"/>
                <w:sz w:val="16"/>
                <w:szCs w:val="16"/>
              </w:rPr>
              <w:t> </w:t>
            </w:r>
            <m:oMath>
              <m:sSup>
                <m:sSupPr>
                  <m:ctrlPr>
                    <w:rPr>
                      <w:rFonts w:ascii="Cambria Math" w:hAnsi="Cambria Math" w:cs="Calibri"/>
                      <w:b w:val="0"/>
                      <w:color w:val="000000"/>
                      <w:sz w:val="16"/>
                      <w:szCs w:val="16"/>
                    </w:rPr>
                  </m:ctrlPr>
                </m:sSupPr>
                <m:e>
                  <m:r>
                    <m:rPr>
                      <m:sty m:val="b"/>
                    </m:rPr>
                    <w:rPr>
                      <w:rFonts w:ascii="Cambria Math" w:hAnsi="Cambria Math" w:cs="Calibri"/>
                      <w:color w:val="000000"/>
                      <w:sz w:val="16"/>
                      <w:szCs w:val="16"/>
                    </w:rPr>
                    <m:t>R</m:t>
                  </m:r>
                </m:e>
                <m:sup>
                  <m:r>
                    <m:rPr>
                      <m:sty m:val="b"/>
                    </m:rPr>
                    <w:rPr>
                      <w:rFonts w:ascii="Cambria Math" w:hAnsi="Cambria Math" w:cs="Calibri"/>
                      <w:color w:val="000000"/>
                      <w:sz w:val="16"/>
                      <w:szCs w:val="16"/>
                    </w:rPr>
                    <m:t>2</m:t>
                  </m:r>
                </m:sup>
              </m:sSup>
              <m:r>
                <m:rPr>
                  <m:sty m:val="bi"/>
                </m:rPr>
                <w:rPr>
                  <w:rFonts w:ascii="Cambria Math" w:hAnsi="Cambria Math" w:cs="Calibri"/>
                  <w:color w:val="000000"/>
                  <w:sz w:val="16"/>
                  <w:szCs w:val="16"/>
                </w:rPr>
                <m:t xml:space="preserve">  </m:t>
              </m:r>
            </m:oMath>
            <w:r w:rsidRPr="00FC1281">
              <w:rPr>
                <w:rFonts w:cs="Calibri"/>
                <w:b w:val="0"/>
                <w:color w:val="000000"/>
                <w:sz w:val="16"/>
                <w:szCs w:val="16"/>
              </w:rPr>
              <w:t>= 0,97</w:t>
            </w:r>
          </w:p>
        </w:tc>
        <w:tc>
          <w:tcPr>
            <w:tcW w:w="3182" w:type="dxa"/>
            <w:noWrap/>
            <w:hideMark/>
          </w:tcPr>
          <w:p w:rsidR="007605DE" w:rsidRPr="00FC1281"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C1281">
              <w:rPr>
                <w:rFonts w:cs="Calibri"/>
                <w:color w:val="000000"/>
                <w:sz w:val="16"/>
                <w:szCs w:val="16"/>
              </w:rPr>
              <w:t xml:space="preserve"> </w:t>
            </w:r>
          </w:p>
        </w:tc>
        <w:tc>
          <w:tcPr>
            <w:tcW w:w="1793" w:type="dxa"/>
            <w:noWrap/>
            <w:hideMark/>
          </w:tcPr>
          <w:p w:rsidR="007605DE" w:rsidRPr="00FC1281" w:rsidRDefault="007605DE" w:rsidP="00FB33C7">
            <w:pP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C1281">
              <w:rPr>
                <w:rFonts w:cs="Calibri"/>
                <w:color w:val="000000"/>
                <w:sz w:val="16"/>
                <w:szCs w:val="16"/>
              </w:rPr>
              <w:t> </w:t>
            </w:r>
          </w:p>
        </w:tc>
      </w:tr>
    </w:tbl>
    <w:p w:rsidR="007605DE" w:rsidRDefault="007605DE" w:rsidP="007605DE">
      <w:pPr>
        <w:pStyle w:val="Rubrik4"/>
        <w:rPr>
          <w:b w:val="0"/>
          <w:i w:val="0"/>
          <w:color w:val="auto"/>
        </w:rPr>
      </w:pPr>
      <w:r>
        <w:rPr>
          <w:b w:val="0"/>
          <w:i w:val="0"/>
          <w:color w:val="auto"/>
        </w:rPr>
        <w:lastRenderedPageBreak/>
        <w:t>Ovanstående är en modell med exponentiell utjämning (</w:t>
      </w:r>
      <w:r w:rsidR="00DD75BD">
        <w:rPr>
          <w:b w:val="0"/>
          <w:i w:val="0"/>
          <w:color w:val="auto"/>
        </w:rPr>
        <w:t>H</w:t>
      </w:r>
      <w:r w:rsidR="00DD75BD" w:rsidRPr="00584161">
        <w:rPr>
          <w:b w:val="0"/>
          <w:i w:val="0"/>
          <w:color w:val="auto"/>
        </w:rPr>
        <w:t>olts</w:t>
      </w:r>
      <w:r w:rsidRPr="00584161">
        <w:rPr>
          <w:b w:val="0"/>
          <w:i w:val="0"/>
          <w:color w:val="auto"/>
        </w:rPr>
        <w:t xml:space="preserve"> modell</w:t>
      </w:r>
      <w:r>
        <w:rPr>
          <w:b w:val="0"/>
          <w:i w:val="0"/>
          <w:color w:val="auto"/>
        </w:rPr>
        <w:t>).</w:t>
      </w:r>
    </w:p>
    <w:p w:rsidR="007605DE" w:rsidRDefault="00DD75BD" w:rsidP="007605DE">
      <w:pPr>
        <w:pStyle w:val="Rubrik4"/>
        <w:rPr>
          <w:b w:val="0"/>
          <w:i w:val="0"/>
          <w:color w:val="auto"/>
        </w:rPr>
      </w:pPr>
      <w:r>
        <w:rPr>
          <w:b w:val="0"/>
          <w:i w:val="0"/>
          <w:color w:val="auto"/>
        </w:rPr>
        <w:t>H</w:t>
      </w:r>
      <w:r w:rsidRPr="00584161">
        <w:rPr>
          <w:b w:val="0"/>
          <w:i w:val="0"/>
          <w:color w:val="auto"/>
        </w:rPr>
        <w:t>olts</w:t>
      </w:r>
      <w:r w:rsidR="007605DE" w:rsidRPr="00584161">
        <w:rPr>
          <w:b w:val="0"/>
          <w:i w:val="0"/>
          <w:color w:val="auto"/>
        </w:rPr>
        <w:t xml:space="preserve"> modell tar fasta på den nedåtgående trenden under de senaste åren medan den linjära i stor utsträckning påverkas av den uppåtgående trenden historiskt. Modellerna har kombinerats så att </w:t>
      </w:r>
      <w:r w:rsidRPr="00584161">
        <w:rPr>
          <w:b w:val="0"/>
          <w:i w:val="0"/>
          <w:color w:val="auto"/>
        </w:rPr>
        <w:t>Holts</w:t>
      </w:r>
      <w:r w:rsidR="007605DE" w:rsidRPr="00584161">
        <w:rPr>
          <w:b w:val="0"/>
          <w:i w:val="0"/>
          <w:color w:val="auto"/>
        </w:rPr>
        <w:t xml:space="preserve"> modell får större inverkan tidigare i prognosperioden (75 % 2014, 70 % 2015, 65 % 2016 och 60 % 2017).</w:t>
      </w:r>
    </w:p>
    <w:p w:rsidR="00FC1281" w:rsidRPr="00FC1281" w:rsidRDefault="00FC1281" w:rsidP="00FC1281">
      <w:pPr>
        <w:rPr>
          <w:rFonts w:cs="Calibri"/>
          <w:b/>
          <w:i/>
          <w:iCs/>
          <w:color w:val="000000"/>
          <w:sz w:val="16"/>
          <w:szCs w:val="16"/>
        </w:rPr>
      </w:pPr>
    </w:p>
    <w:p w:rsidR="00FC1281" w:rsidRDefault="00FC1281" w:rsidP="00FC1281">
      <w:r w:rsidRPr="00FC1281">
        <w:rPr>
          <w:rFonts w:cs="Calibri"/>
          <w:b/>
          <w:i/>
          <w:iCs/>
          <w:color w:val="000000"/>
          <w:sz w:val="16"/>
          <w:szCs w:val="16"/>
        </w:rPr>
        <w:t>Tabell 3. Modell över kategorin Övriga brott mot person (2000–2013)</w:t>
      </w:r>
    </w:p>
    <w:tbl>
      <w:tblPr>
        <w:tblStyle w:val="Ljuslista-dekorfrg3"/>
        <w:tblW w:w="7196" w:type="dxa"/>
        <w:tblLook w:val="04A0" w:firstRow="1" w:lastRow="0" w:firstColumn="1" w:lastColumn="0" w:noHBand="0" w:noVBand="1"/>
      </w:tblPr>
      <w:tblGrid>
        <w:gridCol w:w="2221"/>
        <w:gridCol w:w="3182"/>
        <w:gridCol w:w="1793"/>
      </w:tblGrid>
      <w:tr w:rsidR="007605DE" w:rsidRPr="00CD5919" w:rsidTr="00932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CD5919" w:rsidRDefault="007605DE" w:rsidP="00FB33C7">
            <w:pPr>
              <w:rPr>
                <w:rFonts w:cs="Calibri"/>
                <w:color w:val="000000"/>
                <w:sz w:val="16"/>
                <w:szCs w:val="16"/>
              </w:rPr>
            </w:pPr>
            <w:r w:rsidRPr="00CD5919">
              <w:rPr>
                <w:rFonts w:cs="Calibri"/>
                <w:color w:val="000000"/>
                <w:sz w:val="16"/>
                <w:szCs w:val="16"/>
              </w:rPr>
              <w:t>Parameter</w:t>
            </w:r>
          </w:p>
        </w:tc>
        <w:tc>
          <w:tcPr>
            <w:tcW w:w="3182" w:type="dxa"/>
            <w:noWrap/>
            <w:hideMark/>
          </w:tcPr>
          <w:p w:rsidR="007605DE" w:rsidRPr="00CD5919"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CD5919">
              <w:rPr>
                <w:rFonts w:cs="Calibri"/>
                <w:color w:val="000000"/>
                <w:sz w:val="16"/>
                <w:szCs w:val="16"/>
              </w:rPr>
              <w:t>Koefficient</w:t>
            </w:r>
          </w:p>
        </w:tc>
        <w:tc>
          <w:tcPr>
            <w:tcW w:w="1793" w:type="dxa"/>
            <w:noWrap/>
            <w:hideMark/>
          </w:tcPr>
          <w:p w:rsidR="007605DE" w:rsidRPr="00CD5919"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CD5919">
              <w:rPr>
                <w:rFonts w:cs="Calibri"/>
                <w:color w:val="000000"/>
                <w:sz w:val="16"/>
                <w:szCs w:val="16"/>
              </w:rPr>
              <w:t>p</w:t>
            </w:r>
            <w:r w:rsidR="00ED0BFE">
              <w:rPr>
                <w:rFonts w:cs="Calibri"/>
                <w:color w:val="000000"/>
                <w:sz w:val="16"/>
                <w:szCs w:val="16"/>
              </w:rPr>
              <w:t>–</w:t>
            </w:r>
            <w:r w:rsidRPr="00CD5919">
              <w:rPr>
                <w:rFonts w:cs="Calibri"/>
                <w:color w:val="000000"/>
                <w:sz w:val="16"/>
                <w:szCs w:val="16"/>
              </w:rPr>
              <w:t>värde</w:t>
            </w:r>
          </w:p>
        </w:tc>
      </w:tr>
      <w:tr w:rsidR="007605DE" w:rsidRPr="00FC1281"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C1281" w:rsidRDefault="007605DE" w:rsidP="00FB33C7">
            <w:pPr>
              <w:rPr>
                <w:rFonts w:cs="Calibri"/>
                <w:b w:val="0"/>
                <w:color w:val="000000"/>
                <w:sz w:val="16"/>
                <w:szCs w:val="16"/>
              </w:rPr>
            </w:pPr>
            <w:r w:rsidRPr="00FC1281">
              <w:rPr>
                <w:rFonts w:cs="Calibri"/>
                <w:b w:val="0"/>
                <w:color w:val="000000"/>
                <w:sz w:val="16"/>
                <w:szCs w:val="16"/>
              </w:rPr>
              <w:t>Intercept</w:t>
            </w:r>
          </w:p>
        </w:tc>
        <w:tc>
          <w:tcPr>
            <w:tcW w:w="3182" w:type="dxa"/>
            <w:noWrap/>
            <w:hideMark/>
          </w:tcPr>
          <w:p w:rsidR="007605DE" w:rsidRPr="00FC1281"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C1281">
              <w:rPr>
                <w:rFonts w:cs="Calibri"/>
                <w:color w:val="000000"/>
                <w:sz w:val="16"/>
                <w:szCs w:val="16"/>
              </w:rPr>
              <w:t>23 043</w:t>
            </w:r>
          </w:p>
        </w:tc>
        <w:tc>
          <w:tcPr>
            <w:tcW w:w="1793" w:type="dxa"/>
            <w:noWrap/>
            <w:hideMark/>
          </w:tcPr>
          <w:p w:rsidR="007605DE" w:rsidRPr="00FC1281"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C1281">
              <w:rPr>
                <w:rFonts w:cs="Calibri"/>
                <w:color w:val="000000"/>
                <w:sz w:val="16"/>
                <w:szCs w:val="16"/>
              </w:rPr>
              <w:t>&lt; 0,001</w:t>
            </w:r>
          </w:p>
        </w:tc>
      </w:tr>
      <w:tr w:rsidR="007605DE" w:rsidRPr="00FC1281" w:rsidTr="009324E4">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C1281" w:rsidRDefault="007605DE" w:rsidP="00FB33C7">
            <w:pPr>
              <w:rPr>
                <w:rFonts w:cs="Calibri"/>
                <w:b w:val="0"/>
                <w:color w:val="000000"/>
                <w:sz w:val="16"/>
                <w:szCs w:val="16"/>
              </w:rPr>
            </w:pPr>
            <w:r w:rsidRPr="00FC1281">
              <w:rPr>
                <w:rFonts w:cs="Calibri"/>
                <w:b w:val="0"/>
                <w:color w:val="000000"/>
                <w:sz w:val="16"/>
                <w:szCs w:val="16"/>
              </w:rPr>
              <w:t>Tid</w:t>
            </w:r>
          </w:p>
        </w:tc>
        <w:tc>
          <w:tcPr>
            <w:tcW w:w="3182" w:type="dxa"/>
            <w:noWrap/>
            <w:hideMark/>
          </w:tcPr>
          <w:p w:rsidR="007605DE" w:rsidRPr="00FC1281"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FC1281">
              <w:rPr>
                <w:rFonts w:cs="Calibri"/>
                <w:color w:val="000000"/>
                <w:sz w:val="16"/>
                <w:szCs w:val="16"/>
              </w:rPr>
              <w:t>4 202</w:t>
            </w:r>
          </w:p>
        </w:tc>
        <w:tc>
          <w:tcPr>
            <w:tcW w:w="1793" w:type="dxa"/>
            <w:noWrap/>
            <w:hideMark/>
          </w:tcPr>
          <w:p w:rsidR="007605DE" w:rsidRPr="00FC1281"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FC1281">
              <w:rPr>
                <w:rFonts w:cs="Calibri"/>
                <w:color w:val="000000"/>
                <w:sz w:val="16"/>
                <w:szCs w:val="16"/>
              </w:rPr>
              <w:t>&lt; 0,001</w:t>
            </w:r>
          </w:p>
        </w:tc>
      </w:tr>
      <w:tr w:rsidR="007605DE" w:rsidRPr="00FC1281" w:rsidTr="009324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C1281" w:rsidRDefault="007605DE" w:rsidP="00FB33C7">
            <w:pPr>
              <w:rPr>
                <w:rFonts w:cs="Calibri"/>
                <w:b w:val="0"/>
                <w:color w:val="000000"/>
                <w:sz w:val="16"/>
                <w:szCs w:val="16"/>
              </w:rPr>
            </w:pPr>
            <w:r w:rsidRPr="00FC1281">
              <w:rPr>
                <w:rFonts w:cs="Calibri"/>
                <w:b w:val="0"/>
                <w:color w:val="000000"/>
                <w:sz w:val="16"/>
                <w:szCs w:val="16"/>
              </w:rPr>
              <w:t> </w:t>
            </w:r>
            <m:oMath>
              <m:sSup>
                <m:sSupPr>
                  <m:ctrlPr>
                    <w:rPr>
                      <w:rFonts w:ascii="Cambria Math" w:hAnsi="Cambria Math" w:cs="Calibri"/>
                      <w:b w:val="0"/>
                      <w:color w:val="000000"/>
                      <w:sz w:val="16"/>
                      <w:szCs w:val="16"/>
                    </w:rPr>
                  </m:ctrlPr>
                </m:sSupPr>
                <m:e>
                  <m:r>
                    <m:rPr>
                      <m:sty m:val="b"/>
                    </m:rPr>
                    <w:rPr>
                      <w:rFonts w:ascii="Cambria Math" w:hAnsi="Cambria Math" w:cs="Calibri"/>
                      <w:color w:val="000000"/>
                      <w:sz w:val="16"/>
                      <w:szCs w:val="16"/>
                    </w:rPr>
                    <m:t>R</m:t>
                  </m:r>
                </m:e>
                <m:sup>
                  <m:r>
                    <m:rPr>
                      <m:sty m:val="b"/>
                    </m:rPr>
                    <w:rPr>
                      <w:rFonts w:ascii="Cambria Math" w:hAnsi="Cambria Math" w:cs="Calibri"/>
                      <w:color w:val="000000"/>
                      <w:sz w:val="16"/>
                      <w:szCs w:val="16"/>
                    </w:rPr>
                    <m:t>2</m:t>
                  </m:r>
                </m:sup>
              </m:sSup>
              <m:r>
                <m:rPr>
                  <m:sty m:val="bi"/>
                </m:rPr>
                <w:rPr>
                  <w:rFonts w:ascii="Cambria Math" w:hAnsi="Cambria Math" w:cs="Calibri"/>
                  <w:color w:val="000000"/>
                  <w:sz w:val="16"/>
                  <w:szCs w:val="16"/>
                </w:rPr>
                <m:t xml:space="preserve"> </m:t>
              </m:r>
            </m:oMath>
            <w:r w:rsidRPr="00FC1281">
              <w:rPr>
                <w:rFonts w:cs="Calibri"/>
                <w:b w:val="0"/>
                <w:color w:val="000000"/>
                <w:sz w:val="16"/>
                <w:szCs w:val="16"/>
              </w:rPr>
              <w:t>= 0,98</w:t>
            </w:r>
          </w:p>
        </w:tc>
        <w:tc>
          <w:tcPr>
            <w:tcW w:w="3182" w:type="dxa"/>
            <w:noWrap/>
            <w:hideMark/>
          </w:tcPr>
          <w:p w:rsidR="007605DE" w:rsidRPr="00FC1281"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C1281">
              <w:rPr>
                <w:rFonts w:cs="Calibri"/>
                <w:color w:val="000000"/>
                <w:sz w:val="16"/>
                <w:szCs w:val="16"/>
              </w:rPr>
              <w:t>Durbin</w:t>
            </w:r>
            <w:r w:rsidR="00ED0BFE" w:rsidRPr="00FC1281">
              <w:rPr>
                <w:rFonts w:cs="Calibri"/>
                <w:color w:val="000000"/>
                <w:sz w:val="16"/>
                <w:szCs w:val="16"/>
              </w:rPr>
              <w:t>–</w:t>
            </w:r>
            <w:r w:rsidRPr="00FC1281">
              <w:rPr>
                <w:rFonts w:cs="Calibri"/>
                <w:color w:val="000000"/>
                <w:sz w:val="16"/>
                <w:szCs w:val="16"/>
              </w:rPr>
              <w:t>Watson = 0,45</w:t>
            </w:r>
          </w:p>
        </w:tc>
        <w:tc>
          <w:tcPr>
            <w:tcW w:w="1793" w:type="dxa"/>
            <w:noWrap/>
            <w:hideMark/>
          </w:tcPr>
          <w:p w:rsidR="007605DE" w:rsidRPr="00FC1281" w:rsidRDefault="007605DE" w:rsidP="00FB33C7">
            <w:pP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C1281">
              <w:rPr>
                <w:rFonts w:cs="Calibri"/>
                <w:color w:val="000000"/>
                <w:sz w:val="16"/>
                <w:szCs w:val="16"/>
              </w:rPr>
              <w:t> </w:t>
            </w:r>
          </w:p>
        </w:tc>
      </w:tr>
    </w:tbl>
    <w:p w:rsidR="007605DE" w:rsidRDefault="007605DE" w:rsidP="007605DE">
      <w:r w:rsidRPr="002559D6">
        <w:t>Ovanstående modell är en linjär modell.</w:t>
      </w:r>
    </w:p>
    <w:p w:rsidR="00FC1281" w:rsidRPr="00FC1281" w:rsidRDefault="00FC1281" w:rsidP="007605DE">
      <w:pPr>
        <w:rPr>
          <w:b/>
          <w:sz w:val="16"/>
          <w:szCs w:val="16"/>
        </w:rPr>
      </w:pPr>
      <w:r w:rsidRPr="00FC1281">
        <w:rPr>
          <w:rFonts w:cs="Calibri"/>
          <w:b/>
          <w:i/>
          <w:iCs/>
          <w:color w:val="000000"/>
          <w:sz w:val="16"/>
          <w:szCs w:val="16"/>
        </w:rPr>
        <w:t>Tabell 4. Modell över kategorin Skadegörelsebrott (2007–2013)</w:t>
      </w:r>
    </w:p>
    <w:tbl>
      <w:tblPr>
        <w:tblStyle w:val="Ljuslista-dekorfrg3"/>
        <w:tblW w:w="7196" w:type="dxa"/>
        <w:tblLook w:val="04A0" w:firstRow="1" w:lastRow="0" w:firstColumn="1" w:lastColumn="0" w:noHBand="0" w:noVBand="1"/>
      </w:tblPr>
      <w:tblGrid>
        <w:gridCol w:w="2221"/>
        <w:gridCol w:w="3182"/>
        <w:gridCol w:w="1793"/>
      </w:tblGrid>
      <w:tr w:rsidR="007605DE" w:rsidRPr="00613060" w:rsidTr="00932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613060" w:rsidRDefault="007605DE" w:rsidP="00FB33C7">
            <w:pPr>
              <w:rPr>
                <w:rFonts w:cs="Calibri"/>
                <w:color w:val="000000"/>
                <w:sz w:val="16"/>
                <w:szCs w:val="16"/>
              </w:rPr>
            </w:pPr>
            <w:r w:rsidRPr="00613060">
              <w:rPr>
                <w:rFonts w:cs="Calibri"/>
                <w:color w:val="000000"/>
                <w:sz w:val="16"/>
                <w:szCs w:val="16"/>
              </w:rPr>
              <w:t>Parameter</w:t>
            </w:r>
          </w:p>
        </w:tc>
        <w:tc>
          <w:tcPr>
            <w:tcW w:w="3182" w:type="dxa"/>
            <w:noWrap/>
            <w:hideMark/>
          </w:tcPr>
          <w:p w:rsidR="007605DE" w:rsidRPr="00613060"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613060">
              <w:rPr>
                <w:rFonts w:cs="Calibri"/>
                <w:color w:val="000000"/>
                <w:sz w:val="16"/>
                <w:szCs w:val="16"/>
              </w:rPr>
              <w:t>Koefficient</w:t>
            </w:r>
          </w:p>
        </w:tc>
        <w:tc>
          <w:tcPr>
            <w:tcW w:w="1793" w:type="dxa"/>
            <w:noWrap/>
            <w:hideMark/>
          </w:tcPr>
          <w:p w:rsidR="007605DE" w:rsidRPr="00613060"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613060">
              <w:rPr>
                <w:rFonts w:cs="Calibri"/>
                <w:color w:val="000000"/>
                <w:sz w:val="16"/>
                <w:szCs w:val="16"/>
              </w:rPr>
              <w:t>p</w:t>
            </w:r>
            <w:r w:rsidR="00ED0BFE">
              <w:rPr>
                <w:rFonts w:cs="Calibri"/>
                <w:color w:val="000000"/>
                <w:sz w:val="16"/>
                <w:szCs w:val="16"/>
              </w:rPr>
              <w:t>–</w:t>
            </w:r>
            <w:r w:rsidRPr="00613060">
              <w:rPr>
                <w:rFonts w:cs="Calibri"/>
                <w:color w:val="000000"/>
                <w:sz w:val="16"/>
                <w:szCs w:val="16"/>
              </w:rPr>
              <w:t>värde</w:t>
            </w:r>
          </w:p>
        </w:tc>
      </w:tr>
      <w:tr w:rsidR="007605DE" w:rsidRPr="00FC1281"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C1281" w:rsidRDefault="007605DE" w:rsidP="00FB33C7">
            <w:pPr>
              <w:rPr>
                <w:rFonts w:cs="Calibri"/>
                <w:b w:val="0"/>
                <w:color w:val="000000"/>
                <w:sz w:val="16"/>
                <w:szCs w:val="16"/>
              </w:rPr>
            </w:pPr>
            <w:r w:rsidRPr="00FC1281">
              <w:rPr>
                <w:rFonts w:cs="Calibri"/>
                <w:b w:val="0"/>
                <w:color w:val="000000"/>
                <w:sz w:val="16"/>
                <w:szCs w:val="16"/>
              </w:rPr>
              <w:t>Intercept</w:t>
            </w:r>
          </w:p>
        </w:tc>
        <w:tc>
          <w:tcPr>
            <w:tcW w:w="3182" w:type="dxa"/>
            <w:noWrap/>
            <w:hideMark/>
          </w:tcPr>
          <w:p w:rsidR="007605DE" w:rsidRPr="00FC1281"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C1281">
              <w:rPr>
                <w:rFonts w:cs="Calibri"/>
                <w:color w:val="000000"/>
                <w:sz w:val="16"/>
                <w:szCs w:val="16"/>
              </w:rPr>
              <w:t>186 070</w:t>
            </w:r>
          </w:p>
        </w:tc>
        <w:tc>
          <w:tcPr>
            <w:tcW w:w="1793" w:type="dxa"/>
            <w:noWrap/>
            <w:hideMark/>
          </w:tcPr>
          <w:p w:rsidR="007605DE" w:rsidRPr="00FC1281"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C1281">
              <w:rPr>
                <w:rFonts w:cs="Calibri"/>
                <w:color w:val="000000"/>
                <w:sz w:val="16"/>
                <w:szCs w:val="16"/>
              </w:rPr>
              <w:t>&lt; 0,001</w:t>
            </w:r>
          </w:p>
        </w:tc>
      </w:tr>
      <w:tr w:rsidR="007605DE" w:rsidRPr="00FC1281" w:rsidTr="009324E4">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C1281" w:rsidRDefault="007605DE" w:rsidP="00FB33C7">
            <w:pPr>
              <w:rPr>
                <w:rFonts w:cs="Calibri"/>
                <w:b w:val="0"/>
                <w:color w:val="000000"/>
                <w:sz w:val="16"/>
                <w:szCs w:val="16"/>
              </w:rPr>
            </w:pPr>
            <w:r w:rsidRPr="00FC1281">
              <w:rPr>
                <w:rFonts w:cs="Calibri"/>
                <w:b w:val="0"/>
                <w:color w:val="000000"/>
                <w:sz w:val="16"/>
                <w:szCs w:val="16"/>
              </w:rPr>
              <w:t>Tid</w:t>
            </w:r>
          </w:p>
        </w:tc>
        <w:tc>
          <w:tcPr>
            <w:tcW w:w="3182" w:type="dxa"/>
            <w:noWrap/>
            <w:hideMark/>
          </w:tcPr>
          <w:p w:rsidR="007605DE" w:rsidRPr="00FC1281"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FC1281">
              <w:rPr>
                <w:rFonts w:cs="Calibri"/>
                <w:color w:val="000000"/>
                <w:sz w:val="16"/>
                <w:szCs w:val="16"/>
              </w:rPr>
              <w:t>– 7 823</w:t>
            </w:r>
          </w:p>
        </w:tc>
        <w:tc>
          <w:tcPr>
            <w:tcW w:w="1793" w:type="dxa"/>
            <w:noWrap/>
            <w:hideMark/>
          </w:tcPr>
          <w:p w:rsidR="007605DE" w:rsidRPr="00FC1281"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FC1281">
              <w:rPr>
                <w:rFonts w:cs="Calibri"/>
                <w:color w:val="000000"/>
                <w:sz w:val="16"/>
                <w:szCs w:val="16"/>
              </w:rPr>
              <w:t>0,024</w:t>
            </w:r>
          </w:p>
        </w:tc>
      </w:tr>
      <w:tr w:rsidR="007605DE" w:rsidRPr="00FC1281" w:rsidTr="009324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C1281" w:rsidRDefault="007605DE" w:rsidP="00FB33C7">
            <w:pPr>
              <w:rPr>
                <w:rFonts w:cs="Calibri"/>
                <w:b w:val="0"/>
                <w:color w:val="000000"/>
                <w:sz w:val="16"/>
                <w:szCs w:val="16"/>
              </w:rPr>
            </w:pPr>
            <w:r w:rsidRPr="00FC1281">
              <w:rPr>
                <w:rFonts w:cs="Calibri"/>
                <w:b w:val="0"/>
                <w:color w:val="000000"/>
                <w:sz w:val="16"/>
                <w:szCs w:val="16"/>
              </w:rPr>
              <w:t> </w:t>
            </w:r>
            <m:oMath>
              <m:sSup>
                <m:sSupPr>
                  <m:ctrlPr>
                    <w:rPr>
                      <w:rFonts w:ascii="Cambria Math" w:hAnsi="Cambria Math" w:cs="Calibri"/>
                      <w:b w:val="0"/>
                      <w:color w:val="000000"/>
                      <w:sz w:val="16"/>
                      <w:szCs w:val="16"/>
                    </w:rPr>
                  </m:ctrlPr>
                </m:sSupPr>
                <m:e>
                  <m:r>
                    <m:rPr>
                      <m:sty m:val="b"/>
                    </m:rPr>
                    <w:rPr>
                      <w:rFonts w:ascii="Cambria Math" w:hAnsi="Cambria Math" w:cs="Calibri"/>
                      <w:color w:val="000000"/>
                      <w:sz w:val="16"/>
                      <w:szCs w:val="16"/>
                    </w:rPr>
                    <m:t>R</m:t>
                  </m:r>
                </m:e>
                <m:sup>
                  <m:r>
                    <m:rPr>
                      <m:sty m:val="b"/>
                    </m:rPr>
                    <w:rPr>
                      <w:rFonts w:ascii="Cambria Math" w:hAnsi="Cambria Math" w:cs="Calibri"/>
                      <w:color w:val="000000"/>
                      <w:sz w:val="16"/>
                      <w:szCs w:val="16"/>
                    </w:rPr>
                    <m:t>2</m:t>
                  </m:r>
                </m:sup>
              </m:sSup>
              <m:r>
                <m:rPr>
                  <m:sty m:val="bi"/>
                </m:rPr>
                <w:rPr>
                  <w:rFonts w:ascii="Cambria Math" w:hAnsi="Cambria Math" w:cs="Calibri"/>
                  <w:color w:val="000000"/>
                  <w:sz w:val="16"/>
                  <w:szCs w:val="16"/>
                </w:rPr>
                <m:t xml:space="preserve"> </m:t>
              </m:r>
            </m:oMath>
            <w:r w:rsidRPr="00FC1281">
              <w:rPr>
                <w:rFonts w:cs="Calibri"/>
                <w:b w:val="0"/>
                <w:color w:val="000000"/>
                <w:sz w:val="16"/>
                <w:szCs w:val="16"/>
              </w:rPr>
              <w:t>= 0,67</w:t>
            </w:r>
          </w:p>
        </w:tc>
        <w:tc>
          <w:tcPr>
            <w:tcW w:w="3182" w:type="dxa"/>
            <w:noWrap/>
            <w:hideMark/>
          </w:tcPr>
          <w:p w:rsidR="007605DE" w:rsidRPr="00FC1281"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C1281">
              <w:rPr>
                <w:rFonts w:cs="Calibri"/>
                <w:color w:val="000000"/>
                <w:sz w:val="16"/>
                <w:szCs w:val="16"/>
              </w:rPr>
              <w:t>Durbin</w:t>
            </w:r>
            <w:r w:rsidR="00ED0BFE" w:rsidRPr="00FC1281">
              <w:rPr>
                <w:rFonts w:cs="Calibri"/>
                <w:color w:val="000000"/>
                <w:sz w:val="16"/>
                <w:szCs w:val="16"/>
              </w:rPr>
              <w:t>–</w:t>
            </w:r>
            <w:r w:rsidRPr="00FC1281">
              <w:rPr>
                <w:rFonts w:cs="Calibri"/>
                <w:color w:val="000000"/>
                <w:sz w:val="16"/>
                <w:szCs w:val="16"/>
              </w:rPr>
              <w:t>Watson = 2,2</w:t>
            </w:r>
          </w:p>
        </w:tc>
        <w:tc>
          <w:tcPr>
            <w:tcW w:w="1793" w:type="dxa"/>
            <w:noWrap/>
            <w:hideMark/>
          </w:tcPr>
          <w:p w:rsidR="007605DE" w:rsidRPr="00FC1281" w:rsidRDefault="007605DE" w:rsidP="00FB33C7">
            <w:pP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C1281">
              <w:rPr>
                <w:rFonts w:cs="Calibri"/>
                <w:color w:val="000000"/>
                <w:sz w:val="16"/>
                <w:szCs w:val="16"/>
              </w:rPr>
              <w:t> </w:t>
            </w:r>
          </w:p>
        </w:tc>
      </w:tr>
    </w:tbl>
    <w:p w:rsidR="007605DE" w:rsidRDefault="007605DE" w:rsidP="007605DE">
      <w:r w:rsidRPr="00A84DA1">
        <w:t>Ovanstående modell är en linjär modell som anpassats på data för perioden 2007</w:t>
      </w:r>
      <w:r w:rsidR="00ED0BFE">
        <w:t>–</w:t>
      </w:r>
      <w:r w:rsidRPr="00A84DA1">
        <w:t>2013, som är en del av totala datamaterialet (2000</w:t>
      </w:r>
      <w:r w:rsidR="00ED0BFE">
        <w:t>–</w:t>
      </w:r>
      <w:r w:rsidRPr="00A84DA1">
        <w:t>2013).</w:t>
      </w:r>
    </w:p>
    <w:p w:rsidR="007F7FFC" w:rsidRPr="00C128AF" w:rsidRDefault="007F7FFC" w:rsidP="007605DE">
      <w:pPr>
        <w:rPr>
          <w:b/>
          <w:sz w:val="16"/>
          <w:szCs w:val="16"/>
        </w:rPr>
      </w:pPr>
      <w:r w:rsidRPr="00C128AF">
        <w:rPr>
          <w:rFonts w:cs="Calibri"/>
          <w:b/>
          <w:i/>
          <w:iCs/>
          <w:color w:val="000000"/>
          <w:sz w:val="16"/>
          <w:szCs w:val="16"/>
        </w:rPr>
        <w:t>Tabell 5. Modell över kategorin Tillgreppsbrott exkl. i butik (2000–2013)</w:t>
      </w:r>
    </w:p>
    <w:tbl>
      <w:tblPr>
        <w:tblStyle w:val="Ljuslista-dekorfrg3"/>
        <w:tblW w:w="7196" w:type="dxa"/>
        <w:tblLook w:val="04A0" w:firstRow="1" w:lastRow="0" w:firstColumn="1" w:lastColumn="0" w:noHBand="0" w:noVBand="1"/>
      </w:tblPr>
      <w:tblGrid>
        <w:gridCol w:w="2221"/>
        <w:gridCol w:w="3182"/>
        <w:gridCol w:w="1793"/>
      </w:tblGrid>
      <w:tr w:rsidR="007605DE" w:rsidRPr="00C5449C" w:rsidTr="00932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C5449C" w:rsidRDefault="007605DE" w:rsidP="00FB33C7">
            <w:pPr>
              <w:rPr>
                <w:rFonts w:cs="Calibri"/>
                <w:color w:val="000000"/>
                <w:sz w:val="16"/>
                <w:szCs w:val="16"/>
              </w:rPr>
            </w:pPr>
            <w:r w:rsidRPr="00C5449C">
              <w:rPr>
                <w:rFonts w:cs="Calibri"/>
                <w:color w:val="000000"/>
                <w:sz w:val="16"/>
                <w:szCs w:val="16"/>
              </w:rPr>
              <w:t>Parameter</w:t>
            </w:r>
          </w:p>
        </w:tc>
        <w:tc>
          <w:tcPr>
            <w:tcW w:w="3182" w:type="dxa"/>
            <w:noWrap/>
            <w:hideMark/>
          </w:tcPr>
          <w:p w:rsidR="007605DE" w:rsidRPr="00C5449C"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C5449C">
              <w:rPr>
                <w:rFonts w:cs="Calibri"/>
                <w:color w:val="000000"/>
                <w:sz w:val="16"/>
                <w:szCs w:val="16"/>
              </w:rPr>
              <w:t>Koefficient</w:t>
            </w:r>
          </w:p>
        </w:tc>
        <w:tc>
          <w:tcPr>
            <w:tcW w:w="1793" w:type="dxa"/>
            <w:noWrap/>
            <w:hideMark/>
          </w:tcPr>
          <w:p w:rsidR="007605DE" w:rsidRPr="00C5449C"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C5449C">
              <w:rPr>
                <w:rFonts w:cs="Calibri"/>
                <w:color w:val="000000"/>
                <w:sz w:val="16"/>
                <w:szCs w:val="16"/>
              </w:rPr>
              <w:t>p</w:t>
            </w:r>
            <w:r w:rsidR="00ED0BFE">
              <w:rPr>
                <w:rFonts w:cs="Calibri"/>
                <w:color w:val="000000"/>
                <w:sz w:val="16"/>
                <w:szCs w:val="16"/>
              </w:rPr>
              <w:t>–</w:t>
            </w:r>
            <w:r w:rsidRPr="00C5449C">
              <w:rPr>
                <w:rFonts w:cs="Calibri"/>
                <w:color w:val="000000"/>
                <w:sz w:val="16"/>
                <w:szCs w:val="16"/>
              </w:rPr>
              <w:t>värde</w:t>
            </w:r>
          </w:p>
        </w:tc>
      </w:tr>
      <w:tr w:rsidR="007605DE" w:rsidRPr="007F7FFC"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7F7FFC" w:rsidRDefault="007605DE" w:rsidP="00FB33C7">
            <w:pPr>
              <w:rPr>
                <w:rFonts w:cs="Calibri"/>
                <w:b w:val="0"/>
                <w:color w:val="000000"/>
                <w:sz w:val="16"/>
                <w:szCs w:val="16"/>
              </w:rPr>
            </w:pPr>
            <w:r w:rsidRPr="007F7FFC">
              <w:rPr>
                <w:rFonts w:cs="Calibri"/>
                <w:b w:val="0"/>
                <w:color w:val="000000"/>
                <w:sz w:val="16"/>
                <w:szCs w:val="16"/>
              </w:rPr>
              <w:t>Intercept</w:t>
            </w:r>
          </w:p>
        </w:tc>
        <w:tc>
          <w:tcPr>
            <w:tcW w:w="3182" w:type="dxa"/>
            <w:noWrap/>
            <w:hideMark/>
          </w:tcPr>
          <w:p w:rsidR="007605DE" w:rsidRPr="007F7FFC"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7FFC">
              <w:rPr>
                <w:rFonts w:cs="Calibri"/>
                <w:color w:val="000000"/>
                <w:sz w:val="16"/>
                <w:szCs w:val="16"/>
              </w:rPr>
              <w:t>663 665</w:t>
            </w:r>
          </w:p>
        </w:tc>
        <w:tc>
          <w:tcPr>
            <w:tcW w:w="1793" w:type="dxa"/>
            <w:noWrap/>
            <w:hideMark/>
          </w:tcPr>
          <w:p w:rsidR="007605DE" w:rsidRPr="007F7FFC"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7FFC">
              <w:rPr>
                <w:rFonts w:cs="Calibri"/>
                <w:color w:val="000000"/>
                <w:sz w:val="16"/>
                <w:szCs w:val="16"/>
              </w:rPr>
              <w:t>&lt; 0,001</w:t>
            </w:r>
          </w:p>
        </w:tc>
      </w:tr>
      <w:tr w:rsidR="007605DE" w:rsidRPr="007F7FFC" w:rsidTr="009324E4">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7F7FFC" w:rsidRDefault="007605DE" w:rsidP="00FB33C7">
            <w:pPr>
              <w:rPr>
                <w:rFonts w:cs="Calibri"/>
                <w:b w:val="0"/>
                <w:color w:val="000000"/>
                <w:sz w:val="16"/>
                <w:szCs w:val="16"/>
              </w:rPr>
            </w:pPr>
            <w:r w:rsidRPr="007F7FFC">
              <w:rPr>
                <w:rFonts w:cs="Calibri"/>
                <w:b w:val="0"/>
                <w:color w:val="000000"/>
                <w:sz w:val="16"/>
                <w:szCs w:val="16"/>
              </w:rPr>
              <w:t>Tid, logaritmerad</w:t>
            </w:r>
          </w:p>
        </w:tc>
        <w:tc>
          <w:tcPr>
            <w:tcW w:w="3182" w:type="dxa"/>
            <w:noWrap/>
            <w:hideMark/>
          </w:tcPr>
          <w:p w:rsidR="007605DE" w:rsidRPr="007F7FFC" w:rsidRDefault="00ED0BF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7F7FFC">
              <w:rPr>
                <w:rFonts w:cs="Calibri"/>
                <w:color w:val="000000"/>
                <w:sz w:val="16"/>
                <w:szCs w:val="16"/>
              </w:rPr>
              <w:t>–</w:t>
            </w:r>
            <w:r w:rsidR="007605DE" w:rsidRPr="007F7FFC">
              <w:rPr>
                <w:rFonts w:cs="Calibri"/>
                <w:color w:val="000000"/>
                <w:sz w:val="16"/>
                <w:szCs w:val="16"/>
              </w:rPr>
              <w:t xml:space="preserve"> 82 723</w:t>
            </w:r>
          </w:p>
        </w:tc>
        <w:tc>
          <w:tcPr>
            <w:tcW w:w="1793" w:type="dxa"/>
            <w:noWrap/>
            <w:hideMark/>
          </w:tcPr>
          <w:p w:rsidR="007605DE" w:rsidRPr="007F7FFC"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7F7FFC">
              <w:rPr>
                <w:rFonts w:cs="Calibri"/>
                <w:color w:val="000000"/>
                <w:sz w:val="16"/>
                <w:szCs w:val="16"/>
              </w:rPr>
              <w:t>&lt; 0,001</w:t>
            </w:r>
          </w:p>
        </w:tc>
      </w:tr>
      <w:tr w:rsidR="007605DE" w:rsidRPr="007F7FFC" w:rsidTr="009324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7F7FFC" w:rsidRDefault="007605DE" w:rsidP="00FB33C7">
            <w:pPr>
              <w:rPr>
                <w:rFonts w:cs="Calibri"/>
                <w:b w:val="0"/>
                <w:color w:val="000000"/>
                <w:sz w:val="16"/>
                <w:szCs w:val="16"/>
              </w:rPr>
            </w:pPr>
            <w:r w:rsidRPr="007F7FFC">
              <w:rPr>
                <w:rFonts w:cs="Calibri"/>
                <w:b w:val="0"/>
                <w:color w:val="000000"/>
                <w:sz w:val="16"/>
                <w:szCs w:val="16"/>
              </w:rPr>
              <w:t> </w:t>
            </w:r>
            <m:oMath>
              <m:sSup>
                <m:sSupPr>
                  <m:ctrlPr>
                    <w:rPr>
                      <w:rFonts w:ascii="Cambria Math" w:hAnsi="Cambria Math" w:cs="Calibri"/>
                      <w:b w:val="0"/>
                      <w:color w:val="000000"/>
                      <w:sz w:val="16"/>
                      <w:szCs w:val="16"/>
                    </w:rPr>
                  </m:ctrlPr>
                </m:sSupPr>
                <m:e>
                  <m:r>
                    <m:rPr>
                      <m:sty m:val="b"/>
                    </m:rPr>
                    <w:rPr>
                      <w:rFonts w:ascii="Cambria Math" w:hAnsi="Cambria Math" w:cs="Calibri"/>
                      <w:color w:val="000000"/>
                      <w:sz w:val="16"/>
                      <w:szCs w:val="16"/>
                    </w:rPr>
                    <m:t>R</m:t>
                  </m:r>
                </m:e>
                <m:sup>
                  <m:r>
                    <m:rPr>
                      <m:sty m:val="b"/>
                    </m:rPr>
                    <w:rPr>
                      <w:rFonts w:ascii="Cambria Math" w:hAnsi="Cambria Math" w:cs="Calibri"/>
                      <w:color w:val="000000"/>
                      <w:sz w:val="16"/>
                      <w:szCs w:val="16"/>
                    </w:rPr>
                    <m:t xml:space="preserve">2 </m:t>
                  </m:r>
                </m:sup>
              </m:sSup>
              <m:r>
                <m:rPr>
                  <m:sty m:val="bi"/>
                </m:rPr>
                <w:rPr>
                  <w:rFonts w:ascii="Cambria Math" w:hAnsi="Cambria Math" w:cs="Calibri"/>
                  <w:color w:val="000000"/>
                  <w:sz w:val="16"/>
                  <w:szCs w:val="16"/>
                </w:rPr>
                <m:t xml:space="preserve"> </m:t>
              </m:r>
            </m:oMath>
            <w:r w:rsidRPr="007F7FFC">
              <w:rPr>
                <w:rFonts w:cs="Calibri"/>
                <w:b w:val="0"/>
                <w:color w:val="000000"/>
                <w:sz w:val="16"/>
                <w:szCs w:val="16"/>
              </w:rPr>
              <w:t>= 0,87</w:t>
            </w:r>
          </w:p>
        </w:tc>
        <w:tc>
          <w:tcPr>
            <w:tcW w:w="3182" w:type="dxa"/>
            <w:noWrap/>
            <w:hideMark/>
          </w:tcPr>
          <w:p w:rsidR="007605DE" w:rsidRPr="007F7FFC"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7FFC">
              <w:rPr>
                <w:rFonts w:cs="Calibri"/>
                <w:color w:val="000000"/>
                <w:sz w:val="16"/>
                <w:szCs w:val="16"/>
              </w:rPr>
              <w:t>Durbin</w:t>
            </w:r>
            <w:r w:rsidR="00ED0BFE" w:rsidRPr="007F7FFC">
              <w:rPr>
                <w:rFonts w:cs="Calibri"/>
                <w:color w:val="000000"/>
                <w:sz w:val="16"/>
                <w:szCs w:val="16"/>
              </w:rPr>
              <w:t>–</w:t>
            </w:r>
            <w:r w:rsidRPr="007F7FFC">
              <w:rPr>
                <w:rFonts w:cs="Calibri"/>
                <w:color w:val="000000"/>
                <w:sz w:val="16"/>
                <w:szCs w:val="16"/>
              </w:rPr>
              <w:t>Watson = 0,66</w:t>
            </w:r>
          </w:p>
        </w:tc>
        <w:tc>
          <w:tcPr>
            <w:tcW w:w="1793" w:type="dxa"/>
            <w:noWrap/>
            <w:hideMark/>
          </w:tcPr>
          <w:p w:rsidR="007605DE" w:rsidRPr="007F7FFC"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7FFC">
              <w:rPr>
                <w:rFonts w:cs="Calibri"/>
                <w:color w:val="000000"/>
                <w:sz w:val="16"/>
                <w:szCs w:val="16"/>
              </w:rPr>
              <w:t> </w:t>
            </w:r>
          </w:p>
        </w:tc>
      </w:tr>
    </w:tbl>
    <w:p w:rsidR="007605DE" w:rsidRDefault="007605DE" w:rsidP="007605DE">
      <w:r w:rsidRPr="002559D6">
        <w:t>Ovanstående modell är en l</w:t>
      </w:r>
      <w:r>
        <w:t>ogaritmisk</w:t>
      </w:r>
      <w:r w:rsidRPr="002559D6">
        <w:t xml:space="preserve"> modell.</w:t>
      </w:r>
    </w:p>
    <w:p w:rsidR="007F7FFC" w:rsidRPr="00C128AF" w:rsidRDefault="007F7FFC" w:rsidP="007605DE">
      <w:pPr>
        <w:rPr>
          <w:b/>
          <w:sz w:val="16"/>
          <w:szCs w:val="16"/>
        </w:rPr>
      </w:pPr>
      <w:r w:rsidRPr="00C128AF">
        <w:rPr>
          <w:rFonts w:cs="Calibri"/>
          <w:b/>
          <w:i/>
          <w:iCs/>
          <w:color w:val="000000"/>
          <w:sz w:val="16"/>
          <w:szCs w:val="16"/>
        </w:rPr>
        <w:t>Tabell 6. Modell över kategorin Narkotikabrott (2000–2013)</w:t>
      </w:r>
    </w:p>
    <w:tbl>
      <w:tblPr>
        <w:tblStyle w:val="Ljuslista-dekorfrg3"/>
        <w:tblW w:w="7196" w:type="dxa"/>
        <w:tblLook w:val="04A0" w:firstRow="1" w:lastRow="0" w:firstColumn="1" w:lastColumn="0" w:noHBand="0" w:noVBand="1"/>
      </w:tblPr>
      <w:tblGrid>
        <w:gridCol w:w="2221"/>
        <w:gridCol w:w="3182"/>
        <w:gridCol w:w="1793"/>
      </w:tblGrid>
      <w:tr w:rsidR="007605DE" w:rsidRPr="00C5449C" w:rsidTr="00932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C5449C" w:rsidRDefault="007605DE" w:rsidP="00FB33C7">
            <w:pPr>
              <w:rPr>
                <w:rFonts w:cs="Calibri"/>
                <w:color w:val="000000"/>
                <w:sz w:val="16"/>
                <w:szCs w:val="16"/>
              </w:rPr>
            </w:pPr>
            <w:r w:rsidRPr="00C5449C">
              <w:rPr>
                <w:rFonts w:cs="Calibri"/>
                <w:color w:val="000000"/>
                <w:sz w:val="16"/>
                <w:szCs w:val="16"/>
              </w:rPr>
              <w:t>Parameter</w:t>
            </w:r>
          </w:p>
        </w:tc>
        <w:tc>
          <w:tcPr>
            <w:tcW w:w="3182" w:type="dxa"/>
            <w:noWrap/>
            <w:hideMark/>
          </w:tcPr>
          <w:p w:rsidR="007605DE" w:rsidRPr="00C5449C"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C5449C">
              <w:rPr>
                <w:rFonts w:cs="Calibri"/>
                <w:color w:val="000000"/>
                <w:sz w:val="16"/>
                <w:szCs w:val="16"/>
              </w:rPr>
              <w:t>Koefficient</w:t>
            </w:r>
          </w:p>
        </w:tc>
        <w:tc>
          <w:tcPr>
            <w:tcW w:w="1793" w:type="dxa"/>
            <w:noWrap/>
            <w:hideMark/>
          </w:tcPr>
          <w:p w:rsidR="007605DE" w:rsidRPr="00C5449C"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C5449C">
              <w:rPr>
                <w:rFonts w:cs="Calibri"/>
                <w:color w:val="000000"/>
                <w:sz w:val="16"/>
                <w:szCs w:val="16"/>
              </w:rPr>
              <w:t>p</w:t>
            </w:r>
            <w:r w:rsidR="00ED0BFE">
              <w:rPr>
                <w:rFonts w:cs="Calibri"/>
                <w:color w:val="000000"/>
                <w:sz w:val="16"/>
                <w:szCs w:val="16"/>
              </w:rPr>
              <w:t>–</w:t>
            </w:r>
            <w:r w:rsidRPr="00C5449C">
              <w:rPr>
                <w:rFonts w:cs="Calibri"/>
                <w:color w:val="000000"/>
                <w:sz w:val="16"/>
                <w:szCs w:val="16"/>
              </w:rPr>
              <w:t>värde</w:t>
            </w:r>
          </w:p>
        </w:tc>
      </w:tr>
      <w:tr w:rsidR="007605DE" w:rsidRPr="007F7FFC"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7F7FFC" w:rsidRDefault="007605DE" w:rsidP="00FB33C7">
            <w:pPr>
              <w:rPr>
                <w:rFonts w:cs="Calibri"/>
                <w:b w:val="0"/>
                <w:color w:val="000000"/>
                <w:sz w:val="16"/>
                <w:szCs w:val="16"/>
              </w:rPr>
            </w:pPr>
            <w:r w:rsidRPr="007F7FFC">
              <w:rPr>
                <w:rFonts w:cs="Calibri"/>
                <w:b w:val="0"/>
                <w:color w:val="000000"/>
                <w:sz w:val="16"/>
                <w:szCs w:val="16"/>
              </w:rPr>
              <w:t>Intercept</w:t>
            </w:r>
          </w:p>
        </w:tc>
        <w:tc>
          <w:tcPr>
            <w:tcW w:w="3182" w:type="dxa"/>
            <w:noWrap/>
            <w:hideMark/>
          </w:tcPr>
          <w:p w:rsidR="007605DE" w:rsidRPr="007F7FFC"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7FFC">
              <w:rPr>
                <w:rFonts w:cs="Calibri"/>
                <w:color w:val="000000"/>
                <w:sz w:val="16"/>
                <w:szCs w:val="16"/>
              </w:rPr>
              <w:t>14 425</w:t>
            </w:r>
          </w:p>
        </w:tc>
        <w:tc>
          <w:tcPr>
            <w:tcW w:w="1793" w:type="dxa"/>
            <w:noWrap/>
          </w:tcPr>
          <w:p w:rsidR="007605DE" w:rsidRPr="007F7FFC"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7FFC">
              <w:rPr>
                <w:rFonts w:cs="Calibri"/>
                <w:color w:val="000000"/>
                <w:sz w:val="16"/>
                <w:szCs w:val="16"/>
              </w:rPr>
              <w:t>0,001</w:t>
            </w:r>
          </w:p>
        </w:tc>
      </w:tr>
      <w:tr w:rsidR="007605DE" w:rsidRPr="007F7FFC" w:rsidTr="009324E4">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7F7FFC" w:rsidRDefault="007605DE" w:rsidP="00FB33C7">
            <w:pPr>
              <w:rPr>
                <w:rFonts w:cs="Calibri"/>
                <w:b w:val="0"/>
                <w:color w:val="000000"/>
                <w:sz w:val="16"/>
                <w:szCs w:val="16"/>
              </w:rPr>
            </w:pPr>
            <w:r w:rsidRPr="007F7FFC">
              <w:rPr>
                <w:rFonts w:cs="Calibri"/>
                <w:b w:val="0"/>
                <w:color w:val="000000"/>
                <w:sz w:val="16"/>
                <w:szCs w:val="16"/>
              </w:rPr>
              <w:t>Tid, logaritmerad</w:t>
            </w:r>
          </w:p>
        </w:tc>
        <w:tc>
          <w:tcPr>
            <w:tcW w:w="3182" w:type="dxa"/>
            <w:noWrap/>
            <w:hideMark/>
          </w:tcPr>
          <w:p w:rsidR="007605DE" w:rsidRPr="007F7FFC"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7F7FFC">
              <w:rPr>
                <w:rFonts w:cs="Calibri"/>
                <w:color w:val="000000"/>
                <w:sz w:val="16"/>
                <w:szCs w:val="16"/>
              </w:rPr>
              <w:t>15 311</w:t>
            </w:r>
          </w:p>
        </w:tc>
        <w:tc>
          <w:tcPr>
            <w:tcW w:w="1793" w:type="dxa"/>
            <w:noWrap/>
          </w:tcPr>
          <w:p w:rsidR="007605DE" w:rsidRPr="007F7FFC"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7F7FFC">
              <w:rPr>
                <w:rFonts w:cs="Calibri"/>
                <w:color w:val="000000"/>
                <w:sz w:val="16"/>
                <w:szCs w:val="16"/>
              </w:rPr>
              <w:t>&lt; 0,001</w:t>
            </w:r>
          </w:p>
        </w:tc>
      </w:tr>
      <w:tr w:rsidR="007605DE" w:rsidRPr="007F7FFC" w:rsidTr="009324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7F7FFC" w:rsidRDefault="007605DE" w:rsidP="00FB33C7">
            <w:pPr>
              <w:rPr>
                <w:rFonts w:cs="Calibri"/>
                <w:b w:val="0"/>
                <w:color w:val="000000"/>
                <w:sz w:val="16"/>
                <w:szCs w:val="16"/>
              </w:rPr>
            </w:pPr>
            <w:r w:rsidRPr="007F7FFC">
              <w:rPr>
                <w:rFonts w:cs="Calibri"/>
                <w:b w:val="0"/>
                <w:color w:val="000000"/>
                <w:sz w:val="16"/>
                <w:szCs w:val="16"/>
              </w:rPr>
              <w:t> </w:t>
            </w:r>
            <m:oMath>
              <m:sSup>
                <m:sSupPr>
                  <m:ctrlPr>
                    <w:rPr>
                      <w:rFonts w:ascii="Cambria Math" w:hAnsi="Cambria Math" w:cs="Calibri"/>
                      <w:b w:val="0"/>
                      <w:color w:val="000000"/>
                      <w:sz w:val="16"/>
                      <w:szCs w:val="16"/>
                    </w:rPr>
                  </m:ctrlPr>
                </m:sSupPr>
                <m:e>
                  <m:r>
                    <m:rPr>
                      <m:sty m:val="b"/>
                    </m:rPr>
                    <w:rPr>
                      <w:rFonts w:ascii="Cambria Math" w:hAnsi="Cambria Math" w:cs="Calibri"/>
                      <w:color w:val="000000"/>
                      <w:sz w:val="16"/>
                      <w:szCs w:val="16"/>
                    </w:rPr>
                    <m:t>R</m:t>
                  </m:r>
                </m:e>
                <m:sup>
                  <m:r>
                    <m:rPr>
                      <m:sty m:val="b"/>
                    </m:rPr>
                    <w:rPr>
                      <w:rFonts w:ascii="Cambria Math" w:hAnsi="Cambria Math" w:cs="Calibri"/>
                      <w:color w:val="000000"/>
                      <w:sz w:val="16"/>
                      <w:szCs w:val="16"/>
                    </w:rPr>
                    <m:t>2</m:t>
                  </m:r>
                </m:sup>
              </m:sSup>
              <m:r>
                <m:rPr>
                  <m:sty m:val="bi"/>
                </m:rPr>
                <w:rPr>
                  <w:rFonts w:ascii="Cambria Math" w:hAnsi="Cambria Math" w:cs="Calibri"/>
                  <w:color w:val="000000"/>
                  <w:sz w:val="16"/>
                  <w:szCs w:val="16"/>
                </w:rPr>
                <m:t xml:space="preserve"> </m:t>
              </m:r>
            </m:oMath>
            <w:r w:rsidRPr="007F7FFC">
              <w:rPr>
                <w:rFonts w:cs="Calibri"/>
                <w:b w:val="0"/>
                <w:color w:val="000000"/>
                <w:sz w:val="16"/>
                <w:szCs w:val="16"/>
              </w:rPr>
              <w:t>= 0,88</w:t>
            </w:r>
          </w:p>
        </w:tc>
        <w:tc>
          <w:tcPr>
            <w:tcW w:w="3182" w:type="dxa"/>
            <w:noWrap/>
            <w:hideMark/>
          </w:tcPr>
          <w:p w:rsidR="007605DE" w:rsidRPr="007F7FFC"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7FFC">
              <w:rPr>
                <w:rFonts w:cs="Calibri"/>
                <w:color w:val="000000"/>
                <w:sz w:val="16"/>
                <w:szCs w:val="16"/>
              </w:rPr>
              <w:t>Durbin</w:t>
            </w:r>
            <w:r w:rsidR="00ED0BFE" w:rsidRPr="007F7FFC">
              <w:rPr>
                <w:rFonts w:cs="Calibri"/>
                <w:color w:val="000000"/>
                <w:sz w:val="16"/>
                <w:szCs w:val="16"/>
              </w:rPr>
              <w:t>–</w:t>
            </w:r>
            <w:r w:rsidRPr="007F7FFC">
              <w:rPr>
                <w:rFonts w:cs="Calibri"/>
                <w:color w:val="000000"/>
                <w:sz w:val="16"/>
                <w:szCs w:val="16"/>
              </w:rPr>
              <w:t>Watson = 0,7</w:t>
            </w:r>
          </w:p>
        </w:tc>
        <w:tc>
          <w:tcPr>
            <w:tcW w:w="1793" w:type="dxa"/>
            <w:noWrap/>
            <w:hideMark/>
          </w:tcPr>
          <w:p w:rsidR="007605DE" w:rsidRPr="007F7FFC" w:rsidRDefault="007605DE" w:rsidP="00FB33C7">
            <w:pP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7FFC">
              <w:rPr>
                <w:rFonts w:cs="Calibri"/>
                <w:color w:val="000000"/>
                <w:sz w:val="16"/>
                <w:szCs w:val="16"/>
              </w:rPr>
              <w:t> </w:t>
            </w:r>
          </w:p>
        </w:tc>
      </w:tr>
    </w:tbl>
    <w:p w:rsidR="007605DE" w:rsidRDefault="007605DE" w:rsidP="007605DE">
      <w:pPr>
        <w:rPr>
          <w:sz w:val="16"/>
          <w:szCs w:val="16"/>
        </w:rPr>
      </w:pPr>
      <w:r w:rsidRPr="002559D6">
        <w:t>Ovanstående modell är en l</w:t>
      </w:r>
      <w:r>
        <w:t>ogaritmisk</w:t>
      </w:r>
      <w:r w:rsidRPr="002559D6">
        <w:t xml:space="preserve"> modell.</w:t>
      </w:r>
      <w:r>
        <w:rPr>
          <w:sz w:val="16"/>
          <w:szCs w:val="16"/>
        </w:rPr>
        <w:br w:type="page"/>
      </w:r>
    </w:p>
    <w:p w:rsidR="007605DE" w:rsidRPr="00196383" w:rsidRDefault="00196383" w:rsidP="007605DE">
      <w:pPr>
        <w:rPr>
          <w:b/>
          <w:sz w:val="16"/>
          <w:szCs w:val="16"/>
        </w:rPr>
      </w:pPr>
      <w:r w:rsidRPr="00196383">
        <w:rPr>
          <w:rFonts w:cs="Calibri"/>
          <w:b/>
          <w:i/>
          <w:iCs/>
          <w:color w:val="000000"/>
          <w:sz w:val="16"/>
          <w:szCs w:val="16"/>
        </w:rPr>
        <w:lastRenderedPageBreak/>
        <w:t>Tabell 7. Modell över kategorin Trafikbrott (2004–2013)</w:t>
      </w:r>
    </w:p>
    <w:tbl>
      <w:tblPr>
        <w:tblStyle w:val="Ljuslista-dekorfrg3"/>
        <w:tblW w:w="7196" w:type="dxa"/>
        <w:tblLook w:val="04A0" w:firstRow="1" w:lastRow="0" w:firstColumn="1" w:lastColumn="0" w:noHBand="0" w:noVBand="1"/>
      </w:tblPr>
      <w:tblGrid>
        <w:gridCol w:w="2221"/>
        <w:gridCol w:w="3182"/>
        <w:gridCol w:w="1793"/>
      </w:tblGrid>
      <w:tr w:rsidR="007605DE" w:rsidRPr="004757EA" w:rsidTr="00932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4757EA" w:rsidRDefault="007605DE" w:rsidP="00FB33C7">
            <w:pPr>
              <w:rPr>
                <w:rFonts w:cs="Calibri"/>
                <w:color w:val="000000"/>
                <w:sz w:val="16"/>
                <w:szCs w:val="16"/>
              </w:rPr>
            </w:pPr>
            <w:r w:rsidRPr="004757EA">
              <w:rPr>
                <w:rFonts w:cs="Calibri"/>
                <w:color w:val="000000"/>
                <w:sz w:val="16"/>
                <w:szCs w:val="16"/>
              </w:rPr>
              <w:t>Parameter</w:t>
            </w:r>
          </w:p>
        </w:tc>
        <w:tc>
          <w:tcPr>
            <w:tcW w:w="3182" w:type="dxa"/>
            <w:noWrap/>
            <w:hideMark/>
          </w:tcPr>
          <w:p w:rsidR="007605DE" w:rsidRPr="004757EA"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4757EA">
              <w:rPr>
                <w:rFonts w:cs="Calibri"/>
                <w:color w:val="000000"/>
                <w:sz w:val="16"/>
                <w:szCs w:val="16"/>
              </w:rPr>
              <w:t>Koefficient</w:t>
            </w:r>
          </w:p>
        </w:tc>
        <w:tc>
          <w:tcPr>
            <w:tcW w:w="1793" w:type="dxa"/>
            <w:noWrap/>
            <w:hideMark/>
          </w:tcPr>
          <w:p w:rsidR="007605DE" w:rsidRPr="004757EA"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4757EA">
              <w:rPr>
                <w:rFonts w:cs="Calibri"/>
                <w:color w:val="000000"/>
                <w:sz w:val="16"/>
                <w:szCs w:val="16"/>
              </w:rPr>
              <w:t>p</w:t>
            </w:r>
            <w:r w:rsidR="00ED0BFE">
              <w:rPr>
                <w:rFonts w:cs="Calibri"/>
                <w:color w:val="000000"/>
                <w:sz w:val="16"/>
                <w:szCs w:val="16"/>
              </w:rPr>
              <w:t>–</w:t>
            </w:r>
            <w:r w:rsidRPr="004757EA">
              <w:rPr>
                <w:rFonts w:cs="Calibri"/>
                <w:color w:val="000000"/>
                <w:sz w:val="16"/>
                <w:szCs w:val="16"/>
              </w:rPr>
              <w:t>värde</w:t>
            </w:r>
          </w:p>
        </w:tc>
      </w:tr>
      <w:tr w:rsidR="007605DE" w:rsidRPr="00196383"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b w:val="0"/>
                <w:color w:val="000000"/>
                <w:sz w:val="16"/>
                <w:szCs w:val="16"/>
              </w:rPr>
            </w:pPr>
            <w:r w:rsidRPr="00196383">
              <w:rPr>
                <w:rFonts w:cs="Calibri"/>
                <w:b w:val="0"/>
                <w:color w:val="000000"/>
                <w:sz w:val="16"/>
                <w:szCs w:val="16"/>
              </w:rPr>
              <w:t>Intercept</w:t>
            </w:r>
          </w:p>
        </w:tc>
        <w:tc>
          <w:tcPr>
            <w:tcW w:w="3182" w:type="dxa"/>
            <w:noWrap/>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167 417</w:t>
            </w:r>
          </w:p>
        </w:tc>
        <w:tc>
          <w:tcPr>
            <w:tcW w:w="1793" w:type="dxa"/>
            <w:noWrap/>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&lt; 0,001</w:t>
            </w:r>
          </w:p>
        </w:tc>
      </w:tr>
      <w:tr w:rsidR="007605DE" w:rsidRPr="00196383" w:rsidTr="009324E4">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b w:val="0"/>
                <w:color w:val="000000"/>
                <w:sz w:val="16"/>
                <w:szCs w:val="16"/>
              </w:rPr>
            </w:pPr>
            <w:r w:rsidRPr="00196383">
              <w:rPr>
                <w:rFonts w:cs="Calibri"/>
                <w:b w:val="0"/>
                <w:color w:val="000000"/>
                <w:sz w:val="16"/>
                <w:szCs w:val="16"/>
              </w:rPr>
              <w:t>Tid</w:t>
            </w:r>
          </w:p>
        </w:tc>
        <w:tc>
          <w:tcPr>
            <w:tcW w:w="3182" w:type="dxa"/>
            <w:noWrap/>
          </w:tcPr>
          <w:p w:rsidR="007605DE" w:rsidRPr="00196383"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 5 157</w:t>
            </w:r>
          </w:p>
        </w:tc>
        <w:tc>
          <w:tcPr>
            <w:tcW w:w="1793" w:type="dxa"/>
            <w:noWrap/>
          </w:tcPr>
          <w:p w:rsidR="007605DE" w:rsidRPr="00196383"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&lt; 0,001</w:t>
            </w:r>
          </w:p>
        </w:tc>
      </w:tr>
      <w:tr w:rsidR="007605DE" w:rsidRPr="00196383" w:rsidTr="009324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b w:val="0"/>
                <w:color w:val="000000"/>
                <w:sz w:val="16"/>
                <w:szCs w:val="16"/>
              </w:rPr>
            </w:pPr>
            <w:r w:rsidRPr="00196383">
              <w:rPr>
                <w:rFonts w:cs="Calibri"/>
                <w:b w:val="0"/>
                <w:color w:val="000000"/>
                <w:sz w:val="16"/>
                <w:szCs w:val="16"/>
              </w:rPr>
              <w:t> </w:t>
            </w:r>
            <m:oMath>
              <m:sSup>
                <m:sSupPr>
                  <m:ctrlPr>
                    <w:rPr>
                      <w:rFonts w:ascii="Cambria Math" w:hAnsi="Cambria Math" w:cs="Calibri"/>
                      <w:b w:val="0"/>
                      <w:color w:val="000000"/>
                      <w:sz w:val="16"/>
                      <w:szCs w:val="16"/>
                    </w:rPr>
                  </m:ctrlPr>
                </m:sSupPr>
                <m:e>
                  <m:r>
                    <m:rPr>
                      <m:sty m:val="b"/>
                    </m:rPr>
                    <w:rPr>
                      <w:rFonts w:ascii="Cambria Math" w:hAnsi="Cambria Math" w:cs="Calibri"/>
                      <w:color w:val="000000"/>
                      <w:sz w:val="16"/>
                      <w:szCs w:val="16"/>
                    </w:rPr>
                    <m:t>R</m:t>
                  </m:r>
                </m:e>
                <m:sup>
                  <m:r>
                    <m:rPr>
                      <m:sty m:val="b"/>
                    </m:rPr>
                    <w:rPr>
                      <w:rFonts w:ascii="Cambria Math" w:hAnsi="Cambria Math" w:cs="Calibri"/>
                      <w:color w:val="000000"/>
                      <w:sz w:val="16"/>
                      <w:szCs w:val="16"/>
                    </w:rPr>
                    <m:t xml:space="preserve">2 </m:t>
                  </m:r>
                </m:sup>
              </m:sSup>
              <m:r>
                <m:rPr>
                  <m:sty m:val="bi"/>
                </m:rPr>
                <w:rPr>
                  <w:rFonts w:ascii="Cambria Math" w:hAnsi="Cambria Math" w:cs="Calibri"/>
                  <w:color w:val="000000"/>
                  <w:sz w:val="16"/>
                  <w:szCs w:val="16"/>
                </w:rPr>
                <m:t xml:space="preserve"> </m:t>
              </m:r>
            </m:oMath>
            <w:r w:rsidRPr="00196383">
              <w:rPr>
                <w:rFonts w:cs="Calibri"/>
                <w:b w:val="0"/>
                <w:color w:val="000000"/>
                <w:sz w:val="16"/>
                <w:szCs w:val="16"/>
              </w:rPr>
              <w:t>= 0,96</w:t>
            </w:r>
          </w:p>
        </w:tc>
        <w:tc>
          <w:tcPr>
            <w:tcW w:w="3182" w:type="dxa"/>
            <w:noWrap/>
            <w:hideMark/>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Durbin</w:t>
            </w:r>
            <w:r w:rsidR="00ED0BFE" w:rsidRPr="00196383">
              <w:rPr>
                <w:rFonts w:cs="Calibri"/>
                <w:color w:val="000000"/>
                <w:sz w:val="16"/>
                <w:szCs w:val="16"/>
              </w:rPr>
              <w:t>–</w:t>
            </w:r>
            <w:r w:rsidRPr="00196383">
              <w:rPr>
                <w:rFonts w:cs="Calibri"/>
                <w:color w:val="000000"/>
                <w:sz w:val="16"/>
                <w:szCs w:val="16"/>
              </w:rPr>
              <w:t>Watson = 1,13</w:t>
            </w:r>
          </w:p>
        </w:tc>
        <w:tc>
          <w:tcPr>
            <w:tcW w:w="1793" w:type="dxa"/>
            <w:noWrap/>
            <w:hideMark/>
          </w:tcPr>
          <w:p w:rsidR="007605DE" w:rsidRPr="00196383" w:rsidRDefault="007605DE" w:rsidP="00FB33C7">
            <w:pP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p>
        </w:tc>
      </w:tr>
    </w:tbl>
    <w:p w:rsidR="007605DE" w:rsidRDefault="007605DE" w:rsidP="007605DE">
      <w:r w:rsidRPr="002559D6">
        <w:t>Ovanstående modell är en linjär modell.</w:t>
      </w:r>
      <w:r>
        <w:t xml:space="preserve"> All tillgänglig statistik har använts (2004</w:t>
      </w:r>
      <w:r w:rsidR="00ED0BFE">
        <w:t>–</w:t>
      </w:r>
      <w:r>
        <w:t>2013).</w:t>
      </w:r>
    </w:p>
    <w:p w:rsidR="007605DE" w:rsidRDefault="00196383" w:rsidP="007605DE">
      <w:r>
        <w:t xml:space="preserve">För att prognosticera </w:t>
      </w:r>
      <w:r w:rsidRPr="00196383">
        <w:rPr>
          <w:i/>
        </w:rPr>
        <w:t>tillgrepp i butik</w:t>
      </w:r>
      <w:r>
        <w:t xml:space="preserve"> </w:t>
      </w:r>
      <w:r w:rsidR="007605DE" w:rsidRPr="009F442E">
        <w:t>har prognosvärde</w:t>
      </w:r>
      <w:r w:rsidR="007605DE">
        <w:t>t</w:t>
      </w:r>
      <w:r w:rsidR="007605DE" w:rsidRPr="009F442E">
        <w:t xml:space="preserve"> för 2014 satts till 2013 års värde subtraherat med beloppet som motsvarar den </w:t>
      </w:r>
      <w:r w:rsidR="007605DE">
        <w:t xml:space="preserve">genomsnittliga </w:t>
      </w:r>
      <w:r w:rsidR="007605DE" w:rsidRPr="009F442E">
        <w:t xml:space="preserve">procentuella nedgången </w:t>
      </w:r>
      <w:r w:rsidR="007605DE">
        <w:t xml:space="preserve">under </w:t>
      </w:r>
      <w:r w:rsidR="007605DE" w:rsidRPr="009F442E">
        <w:t>2011</w:t>
      </w:r>
      <w:r w:rsidR="007605DE">
        <w:t xml:space="preserve"> och 2012. Samma princip har använts för resten av prognosperioden vilket innebär att föregående års prognosticerade värde subtraheras med den genomsnittliga minskningen under 2011 och 2012.</w:t>
      </w:r>
    </w:p>
    <w:p w:rsidR="00196383" w:rsidRPr="00196383" w:rsidRDefault="00196383" w:rsidP="007605DE">
      <w:pPr>
        <w:rPr>
          <w:b/>
        </w:rPr>
      </w:pPr>
      <w:r w:rsidRPr="00196383">
        <w:rPr>
          <w:rFonts w:cs="Calibri"/>
          <w:b/>
          <w:i/>
          <w:iCs/>
          <w:color w:val="000000"/>
          <w:sz w:val="16"/>
          <w:szCs w:val="16"/>
        </w:rPr>
        <w:t xml:space="preserve">Tabell </w:t>
      </w:r>
      <w:r w:rsidR="00C128AF">
        <w:rPr>
          <w:rFonts w:cs="Calibri"/>
          <w:b/>
          <w:i/>
          <w:iCs/>
          <w:color w:val="000000"/>
          <w:sz w:val="16"/>
          <w:szCs w:val="16"/>
        </w:rPr>
        <w:t>8</w:t>
      </w:r>
      <w:r w:rsidRPr="00196383">
        <w:rPr>
          <w:rFonts w:cs="Calibri"/>
          <w:b/>
          <w:i/>
          <w:iCs/>
          <w:color w:val="000000"/>
          <w:sz w:val="16"/>
          <w:szCs w:val="16"/>
        </w:rPr>
        <w:t>. Modell över kategorin Bedrägeribrott m.m. (2004–2013)</w:t>
      </w:r>
    </w:p>
    <w:tbl>
      <w:tblPr>
        <w:tblStyle w:val="Ljuslista-dekorfrg3"/>
        <w:tblW w:w="7196" w:type="dxa"/>
        <w:tblLook w:val="04A0" w:firstRow="1" w:lastRow="0" w:firstColumn="1" w:lastColumn="0" w:noHBand="0" w:noVBand="1"/>
      </w:tblPr>
      <w:tblGrid>
        <w:gridCol w:w="2221"/>
        <w:gridCol w:w="3182"/>
        <w:gridCol w:w="1793"/>
      </w:tblGrid>
      <w:tr w:rsidR="007605DE" w:rsidRPr="002559D6" w:rsidTr="00932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2559D6" w:rsidRDefault="007605DE" w:rsidP="00FB33C7">
            <w:pPr>
              <w:rPr>
                <w:rFonts w:cs="Calibri"/>
                <w:color w:val="000000"/>
                <w:sz w:val="16"/>
                <w:szCs w:val="16"/>
              </w:rPr>
            </w:pPr>
            <w:r w:rsidRPr="002559D6">
              <w:rPr>
                <w:rFonts w:cs="Calibri"/>
                <w:color w:val="000000"/>
                <w:sz w:val="16"/>
                <w:szCs w:val="16"/>
              </w:rPr>
              <w:t>Parameter</w:t>
            </w:r>
          </w:p>
        </w:tc>
        <w:tc>
          <w:tcPr>
            <w:tcW w:w="3182" w:type="dxa"/>
            <w:noWrap/>
            <w:hideMark/>
          </w:tcPr>
          <w:p w:rsidR="007605DE" w:rsidRPr="002559D6"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Koefficient</w:t>
            </w:r>
          </w:p>
        </w:tc>
        <w:tc>
          <w:tcPr>
            <w:tcW w:w="1793" w:type="dxa"/>
            <w:noWrap/>
            <w:hideMark/>
          </w:tcPr>
          <w:p w:rsidR="007605DE" w:rsidRPr="002559D6"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p</w:t>
            </w:r>
            <w:r w:rsidR="00ED0BFE">
              <w:rPr>
                <w:rFonts w:cs="Calibri"/>
                <w:color w:val="000000"/>
                <w:sz w:val="16"/>
                <w:szCs w:val="16"/>
              </w:rPr>
              <w:t>–</w:t>
            </w:r>
            <w:r w:rsidRPr="002559D6">
              <w:rPr>
                <w:rFonts w:cs="Calibri"/>
                <w:color w:val="000000"/>
                <w:sz w:val="16"/>
                <w:szCs w:val="16"/>
              </w:rPr>
              <w:t>värde</w:t>
            </w:r>
          </w:p>
        </w:tc>
      </w:tr>
      <w:tr w:rsidR="007605DE" w:rsidRPr="00196383"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b w:val="0"/>
                <w:color w:val="000000"/>
                <w:sz w:val="16"/>
                <w:szCs w:val="16"/>
              </w:rPr>
            </w:pPr>
            <w:r w:rsidRPr="00196383">
              <w:rPr>
                <w:rFonts w:cs="Calibri"/>
                <w:b w:val="0"/>
                <w:color w:val="000000"/>
                <w:sz w:val="16"/>
                <w:szCs w:val="16"/>
              </w:rPr>
              <w:t>Intercept</w:t>
            </w:r>
          </w:p>
        </w:tc>
        <w:tc>
          <w:tcPr>
            <w:tcW w:w="3182" w:type="dxa"/>
            <w:noWrap/>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22 767</w:t>
            </w:r>
          </w:p>
        </w:tc>
        <w:tc>
          <w:tcPr>
            <w:tcW w:w="1793" w:type="dxa"/>
            <w:noWrap/>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 xml:space="preserve"> 0,002</w:t>
            </w:r>
          </w:p>
        </w:tc>
      </w:tr>
      <w:tr w:rsidR="007605DE" w:rsidRPr="00196383" w:rsidTr="009324E4">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b w:val="0"/>
                <w:color w:val="000000"/>
                <w:sz w:val="16"/>
                <w:szCs w:val="16"/>
              </w:rPr>
            </w:pPr>
            <w:r w:rsidRPr="00196383">
              <w:rPr>
                <w:rFonts w:cs="Calibri"/>
                <w:b w:val="0"/>
                <w:color w:val="000000"/>
                <w:sz w:val="16"/>
                <w:szCs w:val="16"/>
              </w:rPr>
              <w:t>Tid</w:t>
            </w:r>
          </w:p>
        </w:tc>
        <w:tc>
          <w:tcPr>
            <w:tcW w:w="3182" w:type="dxa"/>
            <w:noWrap/>
          </w:tcPr>
          <w:p w:rsidR="007605DE" w:rsidRPr="00196383"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11 482</w:t>
            </w:r>
          </w:p>
        </w:tc>
        <w:tc>
          <w:tcPr>
            <w:tcW w:w="1793" w:type="dxa"/>
            <w:noWrap/>
          </w:tcPr>
          <w:p w:rsidR="007605DE" w:rsidRPr="00196383"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&lt; 0,001</w:t>
            </w:r>
          </w:p>
        </w:tc>
      </w:tr>
      <w:tr w:rsidR="007605DE" w:rsidRPr="00196383" w:rsidTr="009324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b w:val="0"/>
                <w:color w:val="000000"/>
                <w:sz w:val="16"/>
                <w:szCs w:val="16"/>
              </w:rPr>
            </w:pPr>
            <w:r w:rsidRPr="00196383">
              <w:rPr>
                <w:rFonts w:cs="Calibri"/>
                <w:b w:val="0"/>
                <w:color w:val="000000"/>
                <w:sz w:val="16"/>
                <w:szCs w:val="16"/>
              </w:rPr>
              <w:t> </w:t>
            </w:r>
            <m:oMath>
              <m:sSup>
                <m:sSupPr>
                  <m:ctrlPr>
                    <w:rPr>
                      <w:rFonts w:ascii="Cambria Math" w:hAnsi="Cambria Math" w:cs="Calibri"/>
                      <w:b w:val="0"/>
                      <w:color w:val="000000"/>
                      <w:sz w:val="16"/>
                      <w:szCs w:val="16"/>
                    </w:rPr>
                  </m:ctrlPr>
                </m:sSupPr>
                <m:e>
                  <m:r>
                    <m:rPr>
                      <m:sty m:val="b"/>
                    </m:rPr>
                    <w:rPr>
                      <w:rFonts w:ascii="Cambria Math" w:hAnsi="Cambria Math" w:cs="Calibri"/>
                      <w:color w:val="000000"/>
                      <w:sz w:val="16"/>
                      <w:szCs w:val="16"/>
                    </w:rPr>
                    <m:t>R</m:t>
                  </m:r>
                </m:e>
                <m:sup>
                  <m:r>
                    <m:rPr>
                      <m:sty m:val="b"/>
                    </m:rPr>
                    <w:rPr>
                      <w:rFonts w:ascii="Cambria Math" w:hAnsi="Cambria Math" w:cs="Calibri"/>
                      <w:color w:val="000000"/>
                      <w:sz w:val="16"/>
                      <w:szCs w:val="16"/>
                    </w:rPr>
                    <m:t>2</m:t>
                  </m:r>
                </m:sup>
              </m:sSup>
              <m:r>
                <m:rPr>
                  <m:sty m:val="bi"/>
                </m:rPr>
                <w:rPr>
                  <w:rFonts w:ascii="Cambria Math" w:hAnsi="Cambria Math" w:cs="Calibri"/>
                  <w:color w:val="000000"/>
                  <w:sz w:val="16"/>
                  <w:szCs w:val="16"/>
                </w:rPr>
                <m:t xml:space="preserve"> </m:t>
              </m:r>
            </m:oMath>
            <w:r w:rsidRPr="00196383">
              <w:rPr>
                <w:rFonts w:cs="Calibri"/>
                <w:b w:val="0"/>
                <w:color w:val="000000"/>
                <w:sz w:val="16"/>
                <w:szCs w:val="16"/>
              </w:rPr>
              <w:t>= 0,96</w:t>
            </w:r>
          </w:p>
        </w:tc>
        <w:tc>
          <w:tcPr>
            <w:tcW w:w="3182" w:type="dxa"/>
            <w:noWrap/>
            <w:hideMark/>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Durbin</w:t>
            </w:r>
            <w:r w:rsidR="00ED0BFE" w:rsidRPr="00196383">
              <w:rPr>
                <w:rFonts w:cs="Calibri"/>
                <w:color w:val="000000"/>
                <w:sz w:val="16"/>
                <w:szCs w:val="16"/>
              </w:rPr>
              <w:t>–</w:t>
            </w:r>
            <w:r w:rsidRPr="00196383">
              <w:rPr>
                <w:rFonts w:cs="Calibri"/>
                <w:color w:val="000000"/>
                <w:sz w:val="16"/>
                <w:szCs w:val="16"/>
              </w:rPr>
              <w:t>Watson = 1,47</w:t>
            </w:r>
          </w:p>
        </w:tc>
        <w:tc>
          <w:tcPr>
            <w:tcW w:w="1793" w:type="dxa"/>
            <w:noWrap/>
            <w:hideMark/>
          </w:tcPr>
          <w:p w:rsidR="007605DE" w:rsidRPr="00196383" w:rsidRDefault="007605DE" w:rsidP="00FB33C7">
            <w:pP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p>
        </w:tc>
      </w:tr>
    </w:tbl>
    <w:p w:rsidR="007605DE" w:rsidRDefault="007605DE" w:rsidP="007605DE">
      <w:r w:rsidRPr="00D52CCD">
        <w:t>Ovanstående modell är en linjär modell som anpassats på data för perioden 2004</w:t>
      </w:r>
      <w:r w:rsidR="00ED0BFE">
        <w:t>–</w:t>
      </w:r>
      <w:r w:rsidRPr="00D52CCD">
        <w:t>201</w:t>
      </w:r>
      <w:r>
        <w:t>3</w:t>
      </w:r>
      <w:r w:rsidRPr="00D52CCD">
        <w:t>, som är en del av totala datamaterialet (2000</w:t>
      </w:r>
      <w:r w:rsidR="00ED0BFE">
        <w:t>–</w:t>
      </w:r>
      <w:r w:rsidRPr="00D52CCD">
        <w:t>201</w:t>
      </w:r>
      <w:r>
        <w:t>3</w:t>
      </w:r>
      <w:r w:rsidRPr="00D52CCD">
        <w:t>).</w:t>
      </w:r>
    </w:p>
    <w:p w:rsidR="00196383" w:rsidRPr="00196383" w:rsidRDefault="00196383" w:rsidP="007605DE">
      <w:pPr>
        <w:rPr>
          <w:b/>
          <w:sz w:val="16"/>
          <w:szCs w:val="16"/>
        </w:rPr>
      </w:pPr>
      <w:r w:rsidRPr="00196383">
        <w:rPr>
          <w:rFonts w:cs="Calibri"/>
          <w:b/>
          <w:i/>
          <w:iCs/>
          <w:color w:val="000000"/>
          <w:sz w:val="16"/>
          <w:szCs w:val="16"/>
        </w:rPr>
        <w:t xml:space="preserve">Tabell </w:t>
      </w:r>
      <w:r w:rsidR="00C128AF">
        <w:rPr>
          <w:rFonts w:cs="Calibri"/>
          <w:b/>
          <w:i/>
          <w:iCs/>
          <w:color w:val="000000"/>
          <w:sz w:val="16"/>
          <w:szCs w:val="16"/>
        </w:rPr>
        <w:t>9</w:t>
      </w:r>
      <w:r w:rsidRPr="00196383">
        <w:rPr>
          <w:rFonts w:cs="Calibri"/>
          <w:b/>
          <w:i/>
          <w:iCs/>
          <w:color w:val="000000"/>
          <w:sz w:val="16"/>
          <w:szCs w:val="16"/>
        </w:rPr>
        <w:t>. Modell över kategorin Övriga BrB–brott (2000–2013)</w:t>
      </w:r>
    </w:p>
    <w:tbl>
      <w:tblPr>
        <w:tblStyle w:val="Ljuslista-dekorfrg3"/>
        <w:tblW w:w="7196" w:type="dxa"/>
        <w:tblLook w:val="04A0" w:firstRow="1" w:lastRow="0" w:firstColumn="1" w:lastColumn="0" w:noHBand="0" w:noVBand="1"/>
      </w:tblPr>
      <w:tblGrid>
        <w:gridCol w:w="2221"/>
        <w:gridCol w:w="3182"/>
        <w:gridCol w:w="1793"/>
      </w:tblGrid>
      <w:tr w:rsidR="007605DE" w:rsidRPr="00196383" w:rsidTr="00932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color w:val="000000"/>
                <w:sz w:val="16"/>
                <w:szCs w:val="16"/>
              </w:rPr>
            </w:pPr>
            <w:r w:rsidRPr="00196383">
              <w:rPr>
                <w:rFonts w:cs="Calibri"/>
                <w:color w:val="000000"/>
                <w:sz w:val="16"/>
                <w:szCs w:val="16"/>
              </w:rPr>
              <w:t>Parameter</w:t>
            </w:r>
          </w:p>
        </w:tc>
        <w:tc>
          <w:tcPr>
            <w:tcW w:w="3182" w:type="dxa"/>
            <w:noWrap/>
            <w:hideMark/>
          </w:tcPr>
          <w:p w:rsidR="007605DE" w:rsidRPr="00196383"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Koefficient</w:t>
            </w:r>
          </w:p>
        </w:tc>
        <w:tc>
          <w:tcPr>
            <w:tcW w:w="1793" w:type="dxa"/>
            <w:noWrap/>
            <w:hideMark/>
          </w:tcPr>
          <w:p w:rsidR="007605DE" w:rsidRPr="00196383"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p</w:t>
            </w:r>
            <w:r w:rsidR="00ED0BFE" w:rsidRPr="00196383">
              <w:rPr>
                <w:rFonts w:cs="Calibri"/>
                <w:color w:val="000000"/>
                <w:sz w:val="16"/>
                <w:szCs w:val="16"/>
              </w:rPr>
              <w:t>–</w:t>
            </w:r>
            <w:r w:rsidRPr="00196383">
              <w:rPr>
                <w:rFonts w:cs="Calibri"/>
                <w:color w:val="000000"/>
                <w:sz w:val="16"/>
                <w:szCs w:val="16"/>
              </w:rPr>
              <w:t>värde</w:t>
            </w:r>
          </w:p>
        </w:tc>
      </w:tr>
      <w:tr w:rsidR="007605DE" w:rsidRPr="00196383"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b w:val="0"/>
                <w:color w:val="000000"/>
                <w:sz w:val="16"/>
                <w:szCs w:val="16"/>
              </w:rPr>
            </w:pPr>
            <w:r w:rsidRPr="00196383">
              <w:rPr>
                <w:rFonts w:cs="Calibri"/>
                <w:b w:val="0"/>
                <w:color w:val="000000"/>
                <w:sz w:val="16"/>
                <w:szCs w:val="16"/>
              </w:rPr>
              <w:t>Intercept</w:t>
            </w:r>
          </w:p>
        </w:tc>
        <w:tc>
          <w:tcPr>
            <w:tcW w:w="3182" w:type="dxa"/>
            <w:noWrap/>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25 788</w:t>
            </w:r>
          </w:p>
        </w:tc>
        <w:tc>
          <w:tcPr>
            <w:tcW w:w="1793" w:type="dxa"/>
            <w:noWrap/>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&lt; 0,001</w:t>
            </w:r>
          </w:p>
        </w:tc>
      </w:tr>
      <w:tr w:rsidR="007605DE" w:rsidRPr="00196383" w:rsidTr="009324E4">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b w:val="0"/>
                <w:color w:val="000000"/>
                <w:sz w:val="16"/>
                <w:szCs w:val="16"/>
              </w:rPr>
            </w:pPr>
            <w:r w:rsidRPr="00196383">
              <w:rPr>
                <w:rFonts w:cs="Calibri"/>
                <w:b w:val="0"/>
                <w:color w:val="000000"/>
                <w:sz w:val="16"/>
                <w:szCs w:val="16"/>
              </w:rPr>
              <w:t>Tid</w:t>
            </w:r>
          </w:p>
        </w:tc>
        <w:tc>
          <w:tcPr>
            <w:tcW w:w="3182" w:type="dxa"/>
            <w:noWrap/>
          </w:tcPr>
          <w:p w:rsidR="007605DE" w:rsidRPr="00196383"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1 311</w:t>
            </w:r>
          </w:p>
        </w:tc>
        <w:tc>
          <w:tcPr>
            <w:tcW w:w="1793" w:type="dxa"/>
            <w:noWrap/>
          </w:tcPr>
          <w:p w:rsidR="007605DE" w:rsidRPr="00196383"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&lt; 0,001</w:t>
            </w:r>
          </w:p>
        </w:tc>
      </w:tr>
      <w:tr w:rsidR="007605DE" w:rsidRPr="00196383" w:rsidTr="009324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b w:val="0"/>
                <w:color w:val="000000"/>
                <w:sz w:val="16"/>
                <w:szCs w:val="16"/>
              </w:rPr>
            </w:pPr>
            <w:r w:rsidRPr="00196383">
              <w:rPr>
                <w:rFonts w:cs="Calibri"/>
                <w:b w:val="0"/>
                <w:color w:val="000000"/>
                <w:sz w:val="16"/>
                <w:szCs w:val="16"/>
              </w:rPr>
              <w:t> </w:t>
            </w:r>
            <m:oMath>
              <m:sSup>
                <m:sSupPr>
                  <m:ctrlPr>
                    <w:rPr>
                      <w:rFonts w:ascii="Cambria Math" w:hAnsi="Cambria Math" w:cs="Calibri"/>
                      <w:b w:val="0"/>
                      <w:color w:val="000000"/>
                      <w:sz w:val="16"/>
                      <w:szCs w:val="16"/>
                    </w:rPr>
                  </m:ctrlPr>
                </m:sSupPr>
                <m:e>
                  <m:r>
                    <m:rPr>
                      <m:sty m:val="b"/>
                    </m:rPr>
                    <w:rPr>
                      <w:rFonts w:ascii="Cambria Math" w:hAnsi="Cambria Math" w:cs="Calibri"/>
                      <w:color w:val="000000"/>
                      <w:sz w:val="16"/>
                      <w:szCs w:val="16"/>
                    </w:rPr>
                    <m:t>R</m:t>
                  </m:r>
                </m:e>
                <m:sup>
                  <m:r>
                    <m:rPr>
                      <m:sty m:val="b"/>
                    </m:rPr>
                    <w:rPr>
                      <w:rFonts w:ascii="Cambria Math" w:hAnsi="Cambria Math" w:cs="Calibri"/>
                      <w:color w:val="000000"/>
                      <w:sz w:val="16"/>
                      <w:szCs w:val="16"/>
                    </w:rPr>
                    <m:t>2</m:t>
                  </m:r>
                </m:sup>
              </m:sSup>
              <m:r>
                <m:rPr>
                  <m:sty m:val="bi"/>
                </m:rPr>
                <w:rPr>
                  <w:rFonts w:ascii="Cambria Math" w:hAnsi="Cambria Math" w:cs="Calibri"/>
                  <w:color w:val="000000"/>
                  <w:sz w:val="16"/>
                  <w:szCs w:val="16"/>
                </w:rPr>
                <m:t xml:space="preserve"> </m:t>
              </m:r>
            </m:oMath>
            <w:r w:rsidRPr="00196383">
              <w:rPr>
                <w:rFonts w:cs="Calibri"/>
                <w:b w:val="0"/>
                <w:color w:val="000000"/>
                <w:sz w:val="16"/>
                <w:szCs w:val="16"/>
              </w:rPr>
              <w:t>= 0,94</w:t>
            </w:r>
          </w:p>
        </w:tc>
        <w:tc>
          <w:tcPr>
            <w:tcW w:w="3182" w:type="dxa"/>
            <w:noWrap/>
            <w:hideMark/>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Durbin</w:t>
            </w:r>
            <w:r w:rsidR="00ED0BFE" w:rsidRPr="00196383">
              <w:rPr>
                <w:rFonts w:cs="Calibri"/>
                <w:color w:val="000000"/>
                <w:sz w:val="16"/>
                <w:szCs w:val="16"/>
              </w:rPr>
              <w:t>–</w:t>
            </w:r>
            <w:r w:rsidRPr="00196383">
              <w:rPr>
                <w:rFonts w:cs="Calibri"/>
                <w:color w:val="000000"/>
                <w:sz w:val="16"/>
                <w:szCs w:val="16"/>
              </w:rPr>
              <w:t>Watson = 0,81</w:t>
            </w:r>
          </w:p>
        </w:tc>
        <w:tc>
          <w:tcPr>
            <w:tcW w:w="1793" w:type="dxa"/>
            <w:noWrap/>
            <w:hideMark/>
          </w:tcPr>
          <w:p w:rsidR="007605DE" w:rsidRPr="00196383" w:rsidRDefault="007605DE" w:rsidP="00FB33C7">
            <w:pP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 </w:t>
            </w:r>
          </w:p>
        </w:tc>
      </w:tr>
    </w:tbl>
    <w:p w:rsidR="007605DE" w:rsidRDefault="007605DE" w:rsidP="007605DE">
      <w:r w:rsidRPr="002559D6">
        <w:t>Ovanstående modell är en linjär modell.</w:t>
      </w:r>
    </w:p>
    <w:p w:rsidR="00196383" w:rsidRPr="00196383" w:rsidRDefault="00196383" w:rsidP="007605DE">
      <w:pPr>
        <w:rPr>
          <w:b/>
          <w:sz w:val="16"/>
          <w:szCs w:val="16"/>
        </w:rPr>
      </w:pPr>
      <w:r w:rsidRPr="00196383">
        <w:rPr>
          <w:rFonts w:cs="Calibri"/>
          <w:b/>
          <w:i/>
          <w:iCs/>
          <w:color w:val="000000"/>
          <w:sz w:val="16"/>
          <w:szCs w:val="16"/>
        </w:rPr>
        <w:t>Tabell 1</w:t>
      </w:r>
      <w:r w:rsidR="00C128AF">
        <w:rPr>
          <w:rFonts w:cs="Calibri"/>
          <w:b/>
          <w:i/>
          <w:iCs/>
          <w:color w:val="000000"/>
          <w:sz w:val="16"/>
          <w:szCs w:val="16"/>
        </w:rPr>
        <w:t>0</w:t>
      </w:r>
      <w:r w:rsidRPr="00196383">
        <w:rPr>
          <w:rFonts w:cs="Calibri"/>
          <w:b/>
          <w:i/>
          <w:iCs/>
          <w:color w:val="000000"/>
          <w:sz w:val="16"/>
          <w:szCs w:val="16"/>
        </w:rPr>
        <w:t>. Modell över kategorin Övriga specialrättsliga brott (2010–2013)</w:t>
      </w:r>
    </w:p>
    <w:tbl>
      <w:tblPr>
        <w:tblStyle w:val="Ljuslista-dekorfrg3"/>
        <w:tblW w:w="7196" w:type="dxa"/>
        <w:tblLook w:val="04A0" w:firstRow="1" w:lastRow="0" w:firstColumn="1" w:lastColumn="0" w:noHBand="0" w:noVBand="1"/>
      </w:tblPr>
      <w:tblGrid>
        <w:gridCol w:w="2221"/>
        <w:gridCol w:w="3182"/>
        <w:gridCol w:w="1793"/>
      </w:tblGrid>
      <w:tr w:rsidR="00196383" w:rsidRPr="00196383" w:rsidTr="00932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196383" w:rsidRPr="00196383" w:rsidRDefault="00196383" w:rsidP="00E739E4">
            <w:pPr>
              <w:rPr>
                <w:rFonts w:cs="Calibri"/>
                <w:color w:val="000000"/>
                <w:sz w:val="16"/>
                <w:szCs w:val="16"/>
              </w:rPr>
            </w:pPr>
            <w:r w:rsidRPr="00196383">
              <w:rPr>
                <w:rFonts w:cs="Calibri"/>
                <w:color w:val="000000"/>
                <w:sz w:val="16"/>
                <w:szCs w:val="16"/>
              </w:rPr>
              <w:t>Parameter</w:t>
            </w:r>
          </w:p>
        </w:tc>
        <w:tc>
          <w:tcPr>
            <w:tcW w:w="3182" w:type="dxa"/>
            <w:noWrap/>
            <w:hideMark/>
          </w:tcPr>
          <w:p w:rsidR="00196383" w:rsidRPr="00196383" w:rsidRDefault="00196383" w:rsidP="00E739E4">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Koefficient</w:t>
            </w:r>
          </w:p>
        </w:tc>
        <w:tc>
          <w:tcPr>
            <w:tcW w:w="1793" w:type="dxa"/>
            <w:noWrap/>
            <w:hideMark/>
          </w:tcPr>
          <w:p w:rsidR="00196383" w:rsidRPr="00196383" w:rsidRDefault="00196383" w:rsidP="00E739E4">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p–värde</w:t>
            </w:r>
          </w:p>
        </w:tc>
      </w:tr>
      <w:tr w:rsidR="007605DE" w:rsidRPr="00196383"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b w:val="0"/>
                <w:color w:val="000000"/>
                <w:sz w:val="16"/>
                <w:szCs w:val="16"/>
              </w:rPr>
            </w:pPr>
            <w:r w:rsidRPr="00196383">
              <w:rPr>
                <w:rFonts w:cs="Calibri"/>
                <w:b w:val="0"/>
                <w:color w:val="000000"/>
                <w:sz w:val="16"/>
                <w:szCs w:val="16"/>
              </w:rPr>
              <w:t>Intercept</w:t>
            </w:r>
          </w:p>
        </w:tc>
        <w:tc>
          <w:tcPr>
            <w:tcW w:w="3182" w:type="dxa"/>
            <w:noWrap/>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29 019</w:t>
            </w:r>
          </w:p>
        </w:tc>
        <w:tc>
          <w:tcPr>
            <w:tcW w:w="1793" w:type="dxa"/>
            <w:noWrap/>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&lt; 0,001</w:t>
            </w:r>
          </w:p>
        </w:tc>
      </w:tr>
      <w:tr w:rsidR="007605DE" w:rsidRPr="00196383" w:rsidTr="009324E4">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b w:val="0"/>
                <w:color w:val="000000"/>
                <w:sz w:val="16"/>
                <w:szCs w:val="16"/>
              </w:rPr>
            </w:pPr>
            <w:r w:rsidRPr="00196383">
              <w:rPr>
                <w:rFonts w:cs="Calibri"/>
                <w:b w:val="0"/>
                <w:color w:val="000000"/>
                <w:sz w:val="16"/>
                <w:szCs w:val="16"/>
              </w:rPr>
              <w:t>Tid</w:t>
            </w:r>
          </w:p>
        </w:tc>
        <w:tc>
          <w:tcPr>
            <w:tcW w:w="3182" w:type="dxa"/>
            <w:noWrap/>
          </w:tcPr>
          <w:p w:rsidR="007605DE" w:rsidRPr="00196383" w:rsidRDefault="00707B97"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 1</w:t>
            </w:r>
            <w:r w:rsidR="007605DE" w:rsidRPr="00196383">
              <w:rPr>
                <w:rFonts w:cs="Calibri"/>
                <w:color w:val="000000"/>
                <w:sz w:val="16"/>
                <w:szCs w:val="16"/>
              </w:rPr>
              <w:t xml:space="preserve"> 249</w:t>
            </w:r>
          </w:p>
        </w:tc>
        <w:tc>
          <w:tcPr>
            <w:tcW w:w="1793" w:type="dxa"/>
            <w:noWrap/>
          </w:tcPr>
          <w:p w:rsidR="007605DE" w:rsidRPr="00196383"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0,031</w:t>
            </w:r>
          </w:p>
        </w:tc>
      </w:tr>
      <w:tr w:rsidR="007605DE" w:rsidRPr="00196383" w:rsidTr="009324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b w:val="0"/>
                <w:color w:val="000000"/>
                <w:sz w:val="16"/>
                <w:szCs w:val="16"/>
              </w:rPr>
            </w:pPr>
            <w:r w:rsidRPr="00196383">
              <w:rPr>
                <w:rFonts w:cs="Calibri"/>
                <w:b w:val="0"/>
                <w:color w:val="000000"/>
                <w:sz w:val="16"/>
                <w:szCs w:val="16"/>
              </w:rPr>
              <w:t> </w:t>
            </w:r>
            <m:oMath>
              <m:sSup>
                <m:sSupPr>
                  <m:ctrlPr>
                    <w:rPr>
                      <w:rFonts w:ascii="Cambria Math" w:hAnsi="Cambria Math" w:cs="Calibri"/>
                      <w:b w:val="0"/>
                      <w:color w:val="000000"/>
                      <w:sz w:val="16"/>
                      <w:szCs w:val="16"/>
                    </w:rPr>
                  </m:ctrlPr>
                </m:sSupPr>
                <m:e>
                  <m:r>
                    <m:rPr>
                      <m:sty m:val="b"/>
                    </m:rPr>
                    <w:rPr>
                      <w:rFonts w:ascii="Cambria Math" w:hAnsi="Cambria Math" w:cs="Calibri"/>
                      <w:color w:val="000000"/>
                      <w:sz w:val="16"/>
                      <w:szCs w:val="16"/>
                    </w:rPr>
                    <m:t>R</m:t>
                  </m:r>
                </m:e>
                <m:sup>
                  <m:r>
                    <m:rPr>
                      <m:sty m:val="b"/>
                    </m:rPr>
                    <w:rPr>
                      <w:rFonts w:ascii="Cambria Math" w:hAnsi="Cambria Math" w:cs="Calibri"/>
                      <w:color w:val="000000"/>
                      <w:sz w:val="16"/>
                      <w:szCs w:val="16"/>
                    </w:rPr>
                    <m:t>2</m:t>
                  </m:r>
                </m:sup>
              </m:sSup>
              <m:r>
                <m:rPr>
                  <m:sty m:val="bi"/>
                </m:rPr>
                <w:rPr>
                  <w:rFonts w:ascii="Cambria Math" w:hAnsi="Cambria Math" w:cs="Calibri"/>
                  <w:color w:val="000000"/>
                  <w:sz w:val="16"/>
                  <w:szCs w:val="16"/>
                </w:rPr>
                <m:t xml:space="preserve"> </m:t>
              </m:r>
            </m:oMath>
            <w:r w:rsidRPr="00196383">
              <w:rPr>
                <w:rFonts w:cs="Calibri"/>
                <w:b w:val="0"/>
                <w:color w:val="000000"/>
                <w:sz w:val="16"/>
                <w:szCs w:val="16"/>
              </w:rPr>
              <w:t>= 0,94</w:t>
            </w:r>
          </w:p>
        </w:tc>
        <w:tc>
          <w:tcPr>
            <w:tcW w:w="3182" w:type="dxa"/>
            <w:noWrap/>
            <w:hideMark/>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Durbin</w:t>
            </w:r>
            <w:r w:rsidR="00ED0BFE" w:rsidRPr="00196383">
              <w:rPr>
                <w:rFonts w:cs="Calibri"/>
                <w:color w:val="000000"/>
                <w:sz w:val="16"/>
                <w:szCs w:val="16"/>
              </w:rPr>
              <w:t>–</w:t>
            </w:r>
            <w:r w:rsidRPr="00196383">
              <w:rPr>
                <w:rFonts w:cs="Calibri"/>
                <w:color w:val="000000"/>
                <w:sz w:val="16"/>
                <w:szCs w:val="16"/>
              </w:rPr>
              <w:t>Watson = 2,25</w:t>
            </w:r>
          </w:p>
        </w:tc>
        <w:tc>
          <w:tcPr>
            <w:tcW w:w="1793" w:type="dxa"/>
            <w:noWrap/>
            <w:hideMark/>
          </w:tcPr>
          <w:p w:rsidR="007605DE" w:rsidRPr="00196383" w:rsidRDefault="007605DE" w:rsidP="00FB33C7">
            <w:pP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 </w:t>
            </w:r>
          </w:p>
        </w:tc>
      </w:tr>
    </w:tbl>
    <w:p w:rsidR="007605DE" w:rsidRPr="002559D6" w:rsidRDefault="007605DE" w:rsidP="007605DE">
      <w:pPr>
        <w:rPr>
          <w:sz w:val="16"/>
          <w:szCs w:val="16"/>
        </w:rPr>
      </w:pPr>
      <w:r w:rsidRPr="00D52CCD">
        <w:t>Ovanstående modell är en linjär modell som anpassats på data för perioden</w:t>
      </w:r>
      <w:r>
        <w:t xml:space="preserve"> 2010</w:t>
      </w:r>
      <w:r w:rsidR="00ED0BFE">
        <w:t>–</w:t>
      </w:r>
      <w:r w:rsidRPr="00D52CCD">
        <w:t>201</w:t>
      </w:r>
      <w:r>
        <w:t>3</w:t>
      </w:r>
      <w:r w:rsidRPr="00D52CCD">
        <w:t>, som är en del av totala datamaterialet (2000</w:t>
      </w:r>
      <w:r w:rsidR="00ED0BFE">
        <w:t>–</w:t>
      </w:r>
      <w:r w:rsidRPr="00D52CCD">
        <w:t>201</w:t>
      </w:r>
      <w:r>
        <w:t>3</w:t>
      </w:r>
      <w:r w:rsidRPr="00D52CCD">
        <w:t>).</w:t>
      </w:r>
    </w:p>
    <w:p w:rsidR="007605DE" w:rsidRDefault="007605DE" w:rsidP="007605DE">
      <w:pPr>
        <w:rPr>
          <w:rFonts w:asciiTheme="majorHAnsi" w:eastAsiaTheme="majorEastAsia" w:hAnsiTheme="majorHAnsi" w:cstheme="majorBidi"/>
          <w:b/>
          <w:bCs/>
          <w:i/>
          <w:iCs/>
          <w:color w:val="404040" w:themeColor="text1" w:themeTint="BF"/>
        </w:rPr>
      </w:pPr>
      <w:r>
        <w:br w:type="page"/>
      </w:r>
    </w:p>
    <w:p w:rsidR="007605DE" w:rsidRDefault="007605DE" w:rsidP="00E2628B">
      <w:pPr>
        <w:pStyle w:val="Rubrik2"/>
      </w:pPr>
      <w:r w:rsidRPr="002559D6">
        <w:lastRenderedPageBreak/>
        <w:t>Prognosmodeller över Polisens utflöde</w:t>
      </w:r>
    </w:p>
    <w:p w:rsidR="00196383" w:rsidRPr="00196383" w:rsidRDefault="00196383" w:rsidP="00196383"/>
    <w:p w:rsidR="00196383" w:rsidRPr="00196383" w:rsidRDefault="00196383" w:rsidP="00196383">
      <w:pPr>
        <w:rPr>
          <w:b/>
        </w:rPr>
      </w:pPr>
      <w:r w:rsidRPr="00196383">
        <w:rPr>
          <w:rFonts w:cs="Calibri"/>
          <w:b/>
          <w:i/>
          <w:iCs/>
          <w:color w:val="000000"/>
          <w:sz w:val="16"/>
          <w:szCs w:val="16"/>
        </w:rPr>
        <w:t>Tabell 1</w:t>
      </w:r>
      <w:r w:rsidR="00C128AF">
        <w:rPr>
          <w:rFonts w:cs="Calibri"/>
          <w:b/>
          <w:i/>
          <w:iCs/>
          <w:color w:val="000000"/>
          <w:sz w:val="16"/>
          <w:szCs w:val="16"/>
        </w:rPr>
        <w:t>1</w:t>
      </w:r>
      <w:r w:rsidRPr="00196383">
        <w:rPr>
          <w:rFonts w:cs="Calibri"/>
          <w:b/>
          <w:i/>
          <w:iCs/>
          <w:color w:val="000000"/>
          <w:sz w:val="16"/>
          <w:szCs w:val="16"/>
        </w:rPr>
        <w:t>. Modell över kategorin Våldsbrott (2000–2013)</w:t>
      </w:r>
    </w:p>
    <w:tbl>
      <w:tblPr>
        <w:tblStyle w:val="Ljuslista-dekorfrg3"/>
        <w:tblW w:w="7196" w:type="dxa"/>
        <w:tblLook w:val="04A0" w:firstRow="1" w:lastRow="0" w:firstColumn="1" w:lastColumn="0" w:noHBand="0" w:noVBand="1"/>
      </w:tblPr>
      <w:tblGrid>
        <w:gridCol w:w="2221"/>
        <w:gridCol w:w="3182"/>
        <w:gridCol w:w="1793"/>
      </w:tblGrid>
      <w:tr w:rsidR="007605DE" w:rsidRPr="00CD5919" w:rsidTr="00932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CD5919" w:rsidRDefault="007605DE" w:rsidP="00FB33C7">
            <w:pPr>
              <w:rPr>
                <w:rFonts w:cs="Calibri"/>
                <w:color w:val="000000"/>
                <w:sz w:val="16"/>
                <w:szCs w:val="16"/>
              </w:rPr>
            </w:pPr>
            <w:r w:rsidRPr="00CD5919">
              <w:rPr>
                <w:rFonts w:cs="Calibri"/>
                <w:color w:val="000000"/>
                <w:sz w:val="16"/>
                <w:szCs w:val="16"/>
              </w:rPr>
              <w:t>Parameter</w:t>
            </w:r>
          </w:p>
        </w:tc>
        <w:tc>
          <w:tcPr>
            <w:tcW w:w="3182" w:type="dxa"/>
            <w:noWrap/>
            <w:hideMark/>
          </w:tcPr>
          <w:p w:rsidR="007605DE" w:rsidRPr="00CD5919"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CD5919">
              <w:rPr>
                <w:rFonts w:cs="Calibri"/>
                <w:color w:val="000000"/>
                <w:sz w:val="16"/>
                <w:szCs w:val="16"/>
              </w:rPr>
              <w:t>Koefficient</w:t>
            </w:r>
          </w:p>
        </w:tc>
        <w:tc>
          <w:tcPr>
            <w:tcW w:w="1793" w:type="dxa"/>
            <w:noWrap/>
            <w:hideMark/>
          </w:tcPr>
          <w:p w:rsidR="007605DE" w:rsidRPr="00CD5919"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CD5919">
              <w:rPr>
                <w:rFonts w:cs="Calibri"/>
                <w:color w:val="000000"/>
                <w:sz w:val="16"/>
                <w:szCs w:val="16"/>
              </w:rPr>
              <w:t>p</w:t>
            </w:r>
            <w:r w:rsidR="00ED0BFE">
              <w:rPr>
                <w:rFonts w:cs="Calibri"/>
                <w:color w:val="000000"/>
                <w:sz w:val="16"/>
                <w:szCs w:val="16"/>
              </w:rPr>
              <w:t>–</w:t>
            </w:r>
            <w:r w:rsidRPr="00CD5919">
              <w:rPr>
                <w:rFonts w:cs="Calibri"/>
                <w:color w:val="000000"/>
                <w:sz w:val="16"/>
                <w:szCs w:val="16"/>
              </w:rPr>
              <w:t>värde</w:t>
            </w:r>
          </w:p>
        </w:tc>
      </w:tr>
      <w:tr w:rsidR="007605DE" w:rsidRPr="00196383"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b w:val="0"/>
                <w:color w:val="000000"/>
                <w:sz w:val="16"/>
                <w:szCs w:val="16"/>
              </w:rPr>
            </w:pPr>
            <w:r w:rsidRPr="00196383">
              <w:rPr>
                <w:rFonts w:cs="Calibri"/>
                <w:b w:val="0"/>
                <w:color w:val="000000"/>
                <w:sz w:val="16"/>
                <w:szCs w:val="16"/>
              </w:rPr>
              <w:t>Intercept</w:t>
            </w:r>
          </w:p>
        </w:tc>
        <w:tc>
          <w:tcPr>
            <w:tcW w:w="3182" w:type="dxa"/>
            <w:noWrap/>
            <w:hideMark/>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0,268</w:t>
            </w:r>
          </w:p>
        </w:tc>
        <w:tc>
          <w:tcPr>
            <w:tcW w:w="1793" w:type="dxa"/>
            <w:noWrap/>
            <w:hideMark/>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&lt; 0,001</w:t>
            </w:r>
          </w:p>
        </w:tc>
      </w:tr>
      <w:tr w:rsidR="007605DE" w:rsidRPr="00196383" w:rsidTr="009324E4">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B655F2" w:rsidP="00FB33C7">
            <w:pPr>
              <w:rPr>
                <w:rFonts w:cs="Calibri"/>
                <w:b w:val="0"/>
                <w:color w:val="000000"/>
                <w:sz w:val="16"/>
                <w:szCs w:val="16"/>
              </w:rPr>
            </w:pPr>
            <w:r w:rsidRPr="00196383">
              <w:rPr>
                <w:rFonts w:cs="Calibri"/>
                <w:b w:val="0"/>
                <w:color w:val="000000"/>
                <w:sz w:val="16"/>
                <w:szCs w:val="16"/>
              </w:rPr>
              <w:t>Inkomna våldsbrottsärenden</w:t>
            </w:r>
          </w:p>
        </w:tc>
        <w:tc>
          <w:tcPr>
            <w:tcW w:w="3182" w:type="dxa"/>
            <w:noWrap/>
            <w:hideMark/>
          </w:tcPr>
          <w:p w:rsidR="007605DE" w:rsidRPr="00196383" w:rsidRDefault="00B655F2"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 0</w:t>
            </w:r>
            <w:r w:rsidR="007605DE" w:rsidRPr="00196383">
              <w:rPr>
                <w:rFonts w:cs="Calibri"/>
                <w:color w:val="000000"/>
                <w:sz w:val="16"/>
                <w:szCs w:val="16"/>
              </w:rPr>
              <w:t>,005</w:t>
            </w:r>
          </w:p>
        </w:tc>
        <w:tc>
          <w:tcPr>
            <w:tcW w:w="1793" w:type="dxa"/>
            <w:noWrap/>
            <w:hideMark/>
          </w:tcPr>
          <w:p w:rsidR="007605DE" w:rsidRPr="00196383"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&lt; 0,001</w:t>
            </w:r>
          </w:p>
        </w:tc>
      </w:tr>
      <w:tr w:rsidR="007605DE" w:rsidRPr="00196383" w:rsidTr="009324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b w:val="0"/>
                <w:color w:val="000000"/>
                <w:sz w:val="16"/>
                <w:szCs w:val="16"/>
              </w:rPr>
            </w:pPr>
            <w:r w:rsidRPr="00196383">
              <w:rPr>
                <w:rFonts w:cs="Calibri"/>
                <w:b w:val="0"/>
                <w:color w:val="000000"/>
                <w:sz w:val="16"/>
                <w:szCs w:val="16"/>
              </w:rPr>
              <w:t> </w:t>
            </w:r>
            <m:oMath>
              <m:sSup>
                <m:sSupPr>
                  <m:ctrlPr>
                    <w:rPr>
                      <w:rFonts w:ascii="Cambria Math" w:hAnsi="Cambria Math" w:cs="Calibri"/>
                      <w:b w:val="0"/>
                      <w:color w:val="000000"/>
                      <w:sz w:val="16"/>
                      <w:szCs w:val="16"/>
                    </w:rPr>
                  </m:ctrlPr>
                </m:sSupPr>
                <m:e>
                  <m:r>
                    <m:rPr>
                      <m:sty m:val="b"/>
                    </m:rPr>
                    <w:rPr>
                      <w:rFonts w:ascii="Cambria Math" w:hAnsi="Cambria Math" w:cs="Calibri"/>
                      <w:color w:val="000000"/>
                      <w:sz w:val="16"/>
                      <w:szCs w:val="16"/>
                    </w:rPr>
                    <m:t>R</m:t>
                  </m:r>
                </m:e>
                <m:sup>
                  <m:r>
                    <m:rPr>
                      <m:sty m:val="b"/>
                    </m:rPr>
                    <w:rPr>
                      <w:rFonts w:ascii="Cambria Math" w:hAnsi="Cambria Math" w:cs="Calibri"/>
                      <w:color w:val="000000"/>
                      <w:sz w:val="16"/>
                      <w:szCs w:val="16"/>
                    </w:rPr>
                    <m:t>2</m:t>
                  </m:r>
                </m:sup>
              </m:sSup>
              <m:r>
                <m:rPr>
                  <m:sty m:val="bi"/>
                </m:rPr>
                <w:rPr>
                  <w:rFonts w:ascii="Cambria Math" w:hAnsi="Cambria Math" w:cs="Calibri"/>
                  <w:color w:val="000000"/>
                  <w:sz w:val="16"/>
                  <w:szCs w:val="16"/>
                </w:rPr>
                <m:t xml:space="preserve"> </m:t>
              </m:r>
            </m:oMath>
            <w:r w:rsidRPr="00196383">
              <w:rPr>
                <w:rFonts w:cs="Calibri"/>
                <w:b w:val="0"/>
                <w:color w:val="000000"/>
                <w:sz w:val="16"/>
                <w:szCs w:val="16"/>
              </w:rPr>
              <w:t>= 0,862</w:t>
            </w:r>
          </w:p>
        </w:tc>
        <w:tc>
          <w:tcPr>
            <w:tcW w:w="3182" w:type="dxa"/>
            <w:noWrap/>
            <w:hideMark/>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Durbin</w:t>
            </w:r>
            <w:r w:rsidR="00ED0BFE" w:rsidRPr="00196383">
              <w:rPr>
                <w:rFonts w:cs="Calibri"/>
                <w:color w:val="000000"/>
                <w:sz w:val="16"/>
                <w:szCs w:val="16"/>
              </w:rPr>
              <w:t>–</w:t>
            </w:r>
            <w:r w:rsidRPr="00196383">
              <w:rPr>
                <w:rFonts w:cs="Calibri"/>
                <w:color w:val="000000"/>
                <w:sz w:val="16"/>
                <w:szCs w:val="16"/>
              </w:rPr>
              <w:t>Watson = 1,07</w:t>
            </w:r>
          </w:p>
        </w:tc>
        <w:tc>
          <w:tcPr>
            <w:tcW w:w="1793" w:type="dxa"/>
            <w:noWrap/>
            <w:hideMark/>
          </w:tcPr>
          <w:p w:rsidR="007605DE" w:rsidRPr="00196383" w:rsidRDefault="007605DE" w:rsidP="00FB33C7">
            <w:pP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 </w:t>
            </w:r>
          </w:p>
        </w:tc>
      </w:tr>
    </w:tbl>
    <w:p w:rsidR="007605DE" w:rsidRDefault="007605DE" w:rsidP="007605DE">
      <w:r w:rsidRPr="002559D6">
        <w:t>Ovanstående modell är en linjär modell.</w:t>
      </w:r>
      <w:r>
        <w:t xml:space="preserve"> Modellen avser dock redovisningsandelen, dvs. andel ärenden redovisade till åklagare av inkomna ärenden. Denna modell har använts tillsammans med prognosen över inflödet (se tabell </w:t>
      </w:r>
      <w:r w:rsidR="00B655F2">
        <w:t>1</w:t>
      </w:r>
      <w:r>
        <w:t>) för att få fram en prognos över utflödet. Detta har gjorts för att det finns en minskande trend i andelen redovisade ärenden till åklagare och denna minskning förväntas fortsätta.</w:t>
      </w:r>
    </w:p>
    <w:p w:rsidR="00196383" w:rsidRPr="00196383" w:rsidRDefault="00196383" w:rsidP="007605DE">
      <w:pPr>
        <w:rPr>
          <w:b/>
        </w:rPr>
      </w:pPr>
      <w:r w:rsidRPr="00196383">
        <w:rPr>
          <w:rFonts w:cs="Calibri"/>
          <w:b/>
          <w:i/>
          <w:iCs/>
          <w:color w:val="000000"/>
          <w:sz w:val="16"/>
          <w:szCs w:val="16"/>
        </w:rPr>
        <w:t>Tabell 1</w:t>
      </w:r>
      <w:r w:rsidR="00C128AF">
        <w:rPr>
          <w:rFonts w:cs="Calibri"/>
          <w:b/>
          <w:i/>
          <w:iCs/>
          <w:color w:val="000000"/>
          <w:sz w:val="16"/>
          <w:szCs w:val="16"/>
        </w:rPr>
        <w:t>2</w:t>
      </w:r>
      <w:r w:rsidRPr="00196383">
        <w:rPr>
          <w:rFonts w:cs="Calibri"/>
          <w:b/>
          <w:i/>
          <w:iCs/>
          <w:color w:val="000000"/>
          <w:sz w:val="16"/>
          <w:szCs w:val="16"/>
        </w:rPr>
        <w:t>. Modell över kategorin Övriga brott mot person (2000–2013)</w:t>
      </w:r>
    </w:p>
    <w:tbl>
      <w:tblPr>
        <w:tblStyle w:val="Ljuslista-dekorfrg3"/>
        <w:tblW w:w="7196" w:type="dxa"/>
        <w:tblLook w:val="04A0" w:firstRow="1" w:lastRow="0" w:firstColumn="1" w:lastColumn="0" w:noHBand="0" w:noVBand="1"/>
      </w:tblPr>
      <w:tblGrid>
        <w:gridCol w:w="2221"/>
        <w:gridCol w:w="3182"/>
        <w:gridCol w:w="1793"/>
      </w:tblGrid>
      <w:tr w:rsidR="007605DE" w:rsidRPr="00CD5919" w:rsidTr="00932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CD5919" w:rsidRDefault="007605DE" w:rsidP="00FB33C7">
            <w:pPr>
              <w:rPr>
                <w:rFonts w:cs="Calibri"/>
                <w:color w:val="000000"/>
                <w:sz w:val="16"/>
                <w:szCs w:val="16"/>
              </w:rPr>
            </w:pPr>
            <w:r w:rsidRPr="00CD5919">
              <w:rPr>
                <w:rFonts w:cs="Calibri"/>
                <w:color w:val="000000"/>
                <w:sz w:val="16"/>
                <w:szCs w:val="16"/>
              </w:rPr>
              <w:t>Parameter</w:t>
            </w:r>
          </w:p>
        </w:tc>
        <w:tc>
          <w:tcPr>
            <w:tcW w:w="3182" w:type="dxa"/>
            <w:noWrap/>
            <w:hideMark/>
          </w:tcPr>
          <w:p w:rsidR="007605DE" w:rsidRPr="00CD5919"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CD5919">
              <w:rPr>
                <w:rFonts w:cs="Calibri"/>
                <w:color w:val="000000"/>
                <w:sz w:val="16"/>
                <w:szCs w:val="16"/>
              </w:rPr>
              <w:t>Koefficient</w:t>
            </w:r>
          </w:p>
        </w:tc>
        <w:tc>
          <w:tcPr>
            <w:tcW w:w="1793" w:type="dxa"/>
            <w:noWrap/>
            <w:hideMark/>
          </w:tcPr>
          <w:p w:rsidR="007605DE" w:rsidRPr="00CD5919"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CD5919">
              <w:rPr>
                <w:rFonts w:cs="Calibri"/>
                <w:color w:val="000000"/>
                <w:sz w:val="16"/>
                <w:szCs w:val="16"/>
              </w:rPr>
              <w:t>p</w:t>
            </w:r>
            <w:r w:rsidR="00ED0BFE">
              <w:rPr>
                <w:rFonts w:cs="Calibri"/>
                <w:color w:val="000000"/>
                <w:sz w:val="16"/>
                <w:szCs w:val="16"/>
              </w:rPr>
              <w:t>–</w:t>
            </w:r>
            <w:r w:rsidRPr="00CD5919">
              <w:rPr>
                <w:rFonts w:cs="Calibri"/>
                <w:color w:val="000000"/>
                <w:sz w:val="16"/>
                <w:szCs w:val="16"/>
              </w:rPr>
              <w:t>värde</w:t>
            </w:r>
          </w:p>
        </w:tc>
      </w:tr>
      <w:tr w:rsidR="007605DE" w:rsidRPr="00196383"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b w:val="0"/>
                <w:color w:val="000000"/>
                <w:sz w:val="16"/>
                <w:szCs w:val="16"/>
              </w:rPr>
            </w:pPr>
            <w:r w:rsidRPr="00196383">
              <w:rPr>
                <w:rFonts w:cs="Calibri"/>
                <w:b w:val="0"/>
                <w:color w:val="000000"/>
                <w:sz w:val="16"/>
                <w:szCs w:val="16"/>
              </w:rPr>
              <w:t>Intercept</w:t>
            </w:r>
          </w:p>
        </w:tc>
        <w:tc>
          <w:tcPr>
            <w:tcW w:w="3182" w:type="dxa"/>
            <w:noWrap/>
            <w:hideMark/>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3 929</w:t>
            </w:r>
          </w:p>
        </w:tc>
        <w:tc>
          <w:tcPr>
            <w:tcW w:w="1793" w:type="dxa"/>
            <w:noWrap/>
            <w:hideMark/>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&lt; 0,001</w:t>
            </w:r>
          </w:p>
        </w:tc>
      </w:tr>
      <w:tr w:rsidR="007605DE" w:rsidRPr="00196383" w:rsidTr="009324E4">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b w:val="0"/>
                <w:color w:val="000000"/>
                <w:sz w:val="16"/>
                <w:szCs w:val="16"/>
              </w:rPr>
            </w:pPr>
            <w:r w:rsidRPr="00196383">
              <w:rPr>
                <w:rFonts w:cs="Calibri"/>
                <w:b w:val="0"/>
                <w:color w:val="000000"/>
                <w:sz w:val="16"/>
                <w:szCs w:val="16"/>
              </w:rPr>
              <w:t>Tid</w:t>
            </w:r>
          </w:p>
        </w:tc>
        <w:tc>
          <w:tcPr>
            <w:tcW w:w="3182" w:type="dxa"/>
            <w:noWrap/>
            <w:hideMark/>
          </w:tcPr>
          <w:p w:rsidR="007605DE" w:rsidRPr="00196383"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477</w:t>
            </w:r>
          </w:p>
        </w:tc>
        <w:tc>
          <w:tcPr>
            <w:tcW w:w="1793" w:type="dxa"/>
            <w:noWrap/>
            <w:hideMark/>
          </w:tcPr>
          <w:p w:rsidR="007605DE" w:rsidRPr="00196383"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 xml:space="preserve"> 0,001</w:t>
            </w:r>
          </w:p>
        </w:tc>
      </w:tr>
      <w:tr w:rsidR="007605DE" w:rsidRPr="00196383" w:rsidTr="009324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b w:val="0"/>
                <w:color w:val="000000"/>
                <w:sz w:val="16"/>
                <w:szCs w:val="16"/>
              </w:rPr>
            </w:pPr>
            <w:r w:rsidRPr="00196383">
              <w:rPr>
                <w:rFonts w:cs="Calibri"/>
                <w:b w:val="0"/>
                <w:color w:val="000000"/>
                <w:sz w:val="16"/>
                <w:szCs w:val="16"/>
              </w:rPr>
              <w:t> </w:t>
            </w:r>
            <m:oMath>
              <m:sSup>
                <m:sSupPr>
                  <m:ctrlPr>
                    <w:rPr>
                      <w:rFonts w:ascii="Cambria Math" w:hAnsi="Cambria Math" w:cs="Calibri"/>
                      <w:b w:val="0"/>
                      <w:color w:val="000000"/>
                      <w:sz w:val="16"/>
                      <w:szCs w:val="16"/>
                    </w:rPr>
                  </m:ctrlPr>
                </m:sSupPr>
                <m:e>
                  <m:r>
                    <m:rPr>
                      <m:sty m:val="b"/>
                    </m:rPr>
                    <w:rPr>
                      <w:rFonts w:ascii="Cambria Math" w:hAnsi="Cambria Math" w:cs="Calibri"/>
                      <w:color w:val="000000"/>
                      <w:sz w:val="16"/>
                      <w:szCs w:val="16"/>
                    </w:rPr>
                    <m:t>R</m:t>
                  </m:r>
                </m:e>
                <m:sup>
                  <m:r>
                    <m:rPr>
                      <m:sty m:val="b"/>
                    </m:rPr>
                    <w:rPr>
                      <w:rFonts w:ascii="Cambria Math" w:hAnsi="Cambria Math" w:cs="Calibri"/>
                      <w:color w:val="000000"/>
                      <w:sz w:val="16"/>
                      <w:szCs w:val="16"/>
                    </w:rPr>
                    <m:t>2</m:t>
                  </m:r>
                </m:sup>
              </m:sSup>
              <m:r>
                <m:rPr>
                  <m:sty m:val="bi"/>
                </m:rPr>
                <w:rPr>
                  <w:rFonts w:ascii="Cambria Math" w:hAnsi="Cambria Math" w:cs="Calibri"/>
                  <w:color w:val="000000"/>
                  <w:sz w:val="16"/>
                  <w:szCs w:val="16"/>
                </w:rPr>
                <m:t xml:space="preserve"> </m:t>
              </m:r>
            </m:oMath>
            <w:r w:rsidRPr="00196383">
              <w:rPr>
                <w:rFonts w:cs="Calibri"/>
                <w:b w:val="0"/>
                <w:color w:val="000000"/>
                <w:sz w:val="16"/>
                <w:szCs w:val="16"/>
              </w:rPr>
              <w:t>= 0,62</w:t>
            </w:r>
          </w:p>
        </w:tc>
        <w:tc>
          <w:tcPr>
            <w:tcW w:w="3182" w:type="dxa"/>
            <w:noWrap/>
            <w:hideMark/>
          </w:tcPr>
          <w:p w:rsidR="007605DE" w:rsidRPr="00196383"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Durbin</w:t>
            </w:r>
            <w:r w:rsidR="00ED0BFE" w:rsidRPr="00196383">
              <w:rPr>
                <w:rFonts w:cs="Calibri"/>
                <w:color w:val="000000"/>
                <w:sz w:val="16"/>
                <w:szCs w:val="16"/>
              </w:rPr>
              <w:t>–</w:t>
            </w:r>
            <w:r w:rsidRPr="00196383">
              <w:rPr>
                <w:rFonts w:cs="Calibri"/>
                <w:color w:val="000000"/>
                <w:sz w:val="16"/>
                <w:szCs w:val="16"/>
              </w:rPr>
              <w:t>Watson = 1,69</w:t>
            </w:r>
          </w:p>
        </w:tc>
        <w:tc>
          <w:tcPr>
            <w:tcW w:w="1793" w:type="dxa"/>
            <w:noWrap/>
            <w:hideMark/>
          </w:tcPr>
          <w:p w:rsidR="007605DE" w:rsidRPr="00196383" w:rsidRDefault="007605DE" w:rsidP="00FB33C7">
            <w:pP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196383">
              <w:rPr>
                <w:rFonts w:cs="Calibri"/>
                <w:color w:val="000000"/>
                <w:sz w:val="16"/>
                <w:szCs w:val="16"/>
              </w:rPr>
              <w:t> </w:t>
            </w:r>
          </w:p>
        </w:tc>
      </w:tr>
    </w:tbl>
    <w:p w:rsidR="007605DE" w:rsidRPr="002559D6" w:rsidRDefault="007605DE" w:rsidP="007605DE">
      <w:r w:rsidRPr="002559D6">
        <w:t>Ovanstående modell är en l</w:t>
      </w:r>
      <w:r>
        <w:t>ogaritmisk</w:t>
      </w:r>
      <w:r w:rsidRPr="002559D6">
        <w:t xml:space="preserve"> modell.</w:t>
      </w:r>
    </w:p>
    <w:p w:rsidR="007605DE" w:rsidRDefault="00196383" w:rsidP="007605DE">
      <w:pPr>
        <w:pStyle w:val="Rubrik4"/>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 xml:space="preserve">För att prognosticera utflödet av </w:t>
      </w:r>
      <w:r w:rsidRPr="00196383">
        <w:rPr>
          <w:rFonts w:asciiTheme="minorHAnsi" w:eastAsiaTheme="minorHAnsi" w:hAnsiTheme="minorHAnsi" w:cstheme="minorBidi"/>
          <w:b w:val="0"/>
          <w:bCs w:val="0"/>
          <w:iCs w:val="0"/>
          <w:color w:val="auto"/>
        </w:rPr>
        <w:t>skadegörelsebrott</w:t>
      </w:r>
      <w:r>
        <w:rPr>
          <w:rFonts w:asciiTheme="minorHAnsi" w:eastAsiaTheme="minorHAnsi" w:hAnsiTheme="minorHAnsi" w:cstheme="minorBidi"/>
          <w:b w:val="0"/>
          <w:bCs w:val="0"/>
          <w:i w:val="0"/>
          <w:iCs w:val="0"/>
          <w:color w:val="auto"/>
        </w:rPr>
        <w:t xml:space="preserve"> har ka</w:t>
      </w:r>
      <w:r w:rsidR="007605DE">
        <w:rPr>
          <w:rFonts w:asciiTheme="minorHAnsi" w:eastAsiaTheme="minorHAnsi" w:hAnsiTheme="minorHAnsi" w:cstheme="minorBidi"/>
          <w:b w:val="0"/>
          <w:bCs w:val="0"/>
          <w:i w:val="0"/>
          <w:iCs w:val="0"/>
          <w:color w:val="auto"/>
        </w:rPr>
        <w:t xml:space="preserve">tegorins redovisningsandel 2013 använts tillsammans med prognosen för inflödet (se tabell </w:t>
      </w:r>
      <w:r w:rsidR="00B655F2">
        <w:rPr>
          <w:rFonts w:asciiTheme="minorHAnsi" w:eastAsiaTheme="minorHAnsi" w:hAnsiTheme="minorHAnsi" w:cstheme="minorBidi"/>
          <w:b w:val="0"/>
          <w:bCs w:val="0"/>
          <w:i w:val="0"/>
          <w:iCs w:val="0"/>
          <w:color w:val="auto"/>
        </w:rPr>
        <w:t>4</w:t>
      </w:r>
      <w:r>
        <w:rPr>
          <w:rFonts w:asciiTheme="minorHAnsi" w:eastAsiaTheme="minorHAnsi" w:hAnsiTheme="minorHAnsi" w:cstheme="minorBidi"/>
          <w:b w:val="0"/>
          <w:bCs w:val="0"/>
          <w:i w:val="0"/>
          <w:iCs w:val="0"/>
          <w:color w:val="auto"/>
        </w:rPr>
        <w:t>).</w:t>
      </w:r>
    </w:p>
    <w:p w:rsidR="00196383" w:rsidRPr="00196383" w:rsidRDefault="00196383" w:rsidP="00196383"/>
    <w:p w:rsidR="007605DE" w:rsidRPr="00196383" w:rsidRDefault="00196383" w:rsidP="007605DE">
      <w:pPr>
        <w:rPr>
          <w:b/>
        </w:rPr>
      </w:pPr>
      <w:r w:rsidRPr="00196383">
        <w:rPr>
          <w:rFonts w:cs="Calibri"/>
          <w:b/>
          <w:i/>
          <w:iCs/>
          <w:color w:val="000000"/>
          <w:sz w:val="16"/>
          <w:szCs w:val="16"/>
        </w:rPr>
        <w:t>Tabell 1</w:t>
      </w:r>
      <w:r w:rsidR="00C128AF">
        <w:rPr>
          <w:rFonts w:cs="Calibri"/>
          <w:b/>
          <w:i/>
          <w:iCs/>
          <w:color w:val="000000"/>
          <w:sz w:val="16"/>
          <w:szCs w:val="16"/>
        </w:rPr>
        <w:t>3</w:t>
      </w:r>
      <w:r w:rsidRPr="00196383">
        <w:rPr>
          <w:rFonts w:cs="Calibri"/>
          <w:b/>
          <w:i/>
          <w:iCs/>
          <w:color w:val="000000"/>
          <w:sz w:val="16"/>
          <w:szCs w:val="16"/>
        </w:rPr>
        <w:t>. Modell över kategorin Tillgreppsbrott exkl. i butik (2000–2013)</w:t>
      </w:r>
    </w:p>
    <w:tbl>
      <w:tblPr>
        <w:tblStyle w:val="Ljuslista-dekorfrg3"/>
        <w:tblW w:w="7196" w:type="dxa"/>
        <w:tblLook w:val="04A0" w:firstRow="1" w:lastRow="0" w:firstColumn="1" w:lastColumn="0" w:noHBand="0" w:noVBand="1"/>
      </w:tblPr>
      <w:tblGrid>
        <w:gridCol w:w="2221"/>
        <w:gridCol w:w="3182"/>
        <w:gridCol w:w="1793"/>
      </w:tblGrid>
      <w:tr w:rsidR="007605DE" w:rsidRPr="00196383" w:rsidTr="00932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196383" w:rsidRDefault="007605DE" w:rsidP="00FB33C7">
            <w:pPr>
              <w:rPr>
                <w:rFonts w:cs="Calibri"/>
                <w:color w:val="000000"/>
                <w:sz w:val="16"/>
                <w:szCs w:val="16"/>
              </w:rPr>
            </w:pPr>
            <w:r w:rsidRPr="00196383">
              <w:rPr>
                <w:rFonts w:cs="Calibri"/>
                <w:color w:val="000000"/>
                <w:sz w:val="16"/>
                <w:szCs w:val="16"/>
              </w:rPr>
              <w:t>Parameter</w:t>
            </w:r>
          </w:p>
        </w:tc>
        <w:tc>
          <w:tcPr>
            <w:tcW w:w="3182" w:type="dxa"/>
            <w:noWrap/>
            <w:hideMark/>
          </w:tcPr>
          <w:p w:rsidR="007605DE" w:rsidRPr="00196383"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Koefficient</w:t>
            </w:r>
          </w:p>
        </w:tc>
        <w:tc>
          <w:tcPr>
            <w:tcW w:w="1793" w:type="dxa"/>
            <w:noWrap/>
            <w:hideMark/>
          </w:tcPr>
          <w:p w:rsidR="007605DE" w:rsidRPr="00196383"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196383">
              <w:rPr>
                <w:rFonts w:cs="Calibri"/>
                <w:color w:val="000000"/>
                <w:sz w:val="16"/>
                <w:szCs w:val="16"/>
              </w:rPr>
              <w:t>p</w:t>
            </w:r>
            <w:r w:rsidR="00ED0BFE" w:rsidRPr="00196383">
              <w:rPr>
                <w:rFonts w:cs="Calibri"/>
                <w:color w:val="000000"/>
                <w:sz w:val="16"/>
                <w:szCs w:val="16"/>
              </w:rPr>
              <w:t>–</w:t>
            </w:r>
            <w:r w:rsidRPr="00196383">
              <w:rPr>
                <w:rFonts w:cs="Calibri"/>
                <w:color w:val="000000"/>
                <w:sz w:val="16"/>
                <w:szCs w:val="16"/>
              </w:rPr>
              <w:t>värde</w:t>
            </w:r>
          </w:p>
        </w:tc>
      </w:tr>
      <w:tr w:rsidR="007605DE" w:rsidRPr="000B75AB"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0B75AB" w:rsidRDefault="007605DE" w:rsidP="00FB33C7">
            <w:pPr>
              <w:rPr>
                <w:rFonts w:cs="Calibri"/>
                <w:b w:val="0"/>
                <w:color w:val="000000"/>
                <w:sz w:val="16"/>
                <w:szCs w:val="16"/>
              </w:rPr>
            </w:pPr>
            <w:r w:rsidRPr="000B75AB">
              <w:rPr>
                <w:rFonts w:cs="Calibri"/>
                <w:b w:val="0"/>
                <w:color w:val="000000"/>
                <w:sz w:val="16"/>
                <w:szCs w:val="16"/>
              </w:rPr>
              <w:t>Intercept</w:t>
            </w:r>
          </w:p>
        </w:tc>
        <w:tc>
          <w:tcPr>
            <w:tcW w:w="3182" w:type="dxa"/>
            <w:noWrap/>
            <w:hideMark/>
          </w:tcPr>
          <w:p w:rsidR="007605DE" w:rsidRPr="000B75AB"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0B75AB">
              <w:rPr>
                <w:rFonts w:cs="Calibri"/>
                <w:color w:val="000000"/>
                <w:sz w:val="16"/>
                <w:szCs w:val="16"/>
              </w:rPr>
              <w:t>20 751</w:t>
            </w:r>
          </w:p>
        </w:tc>
        <w:tc>
          <w:tcPr>
            <w:tcW w:w="1793" w:type="dxa"/>
            <w:noWrap/>
            <w:hideMark/>
          </w:tcPr>
          <w:p w:rsidR="007605DE" w:rsidRPr="000B75AB"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0B75AB">
              <w:rPr>
                <w:rFonts w:cs="Calibri"/>
                <w:color w:val="000000"/>
                <w:sz w:val="16"/>
                <w:szCs w:val="16"/>
              </w:rPr>
              <w:t>&lt; 0,001</w:t>
            </w:r>
          </w:p>
        </w:tc>
      </w:tr>
      <w:tr w:rsidR="007605DE" w:rsidRPr="000B75AB" w:rsidTr="009324E4">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0B75AB" w:rsidRDefault="007605DE" w:rsidP="00FB33C7">
            <w:pPr>
              <w:rPr>
                <w:rFonts w:cs="Calibri"/>
                <w:b w:val="0"/>
                <w:color w:val="000000"/>
                <w:sz w:val="16"/>
                <w:szCs w:val="16"/>
              </w:rPr>
            </w:pPr>
            <w:r w:rsidRPr="000B75AB">
              <w:rPr>
                <w:rFonts w:cs="Calibri"/>
                <w:b w:val="0"/>
                <w:color w:val="000000"/>
                <w:sz w:val="16"/>
                <w:szCs w:val="16"/>
              </w:rPr>
              <w:t>Tid</w:t>
            </w:r>
          </w:p>
        </w:tc>
        <w:tc>
          <w:tcPr>
            <w:tcW w:w="3182" w:type="dxa"/>
            <w:noWrap/>
            <w:hideMark/>
          </w:tcPr>
          <w:p w:rsidR="007605DE" w:rsidRPr="000B75AB" w:rsidRDefault="00707B97"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0B75AB">
              <w:rPr>
                <w:rFonts w:cs="Calibri"/>
                <w:color w:val="000000"/>
                <w:sz w:val="16"/>
                <w:szCs w:val="16"/>
              </w:rPr>
              <w:t>– 601</w:t>
            </w:r>
          </w:p>
        </w:tc>
        <w:tc>
          <w:tcPr>
            <w:tcW w:w="1793" w:type="dxa"/>
            <w:noWrap/>
            <w:hideMark/>
          </w:tcPr>
          <w:p w:rsidR="007605DE" w:rsidRPr="000B75AB"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0B75AB">
              <w:rPr>
                <w:rFonts w:cs="Calibri"/>
                <w:color w:val="000000"/>
                <w:sz w:val="16"/>
                <w:szCs w:val="16"/>
              </w:rPr>
              <w:t>&lt; 0,001</w:t>
            </w:r>
          </w:p>
        </w:tc>
      </w:tr>
      <w:tr w:rsidR="007605DE" w:rsidRPr="000B75AB" w:rsidTr="009324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0B75AB" w:rsidRDefault="007605DE" w:rsidP="00FB33C7">
            <w:pPr>
              <w:rPr>
                <w:rFonts w:cs="Calibri"/>
                <w:b w:val="0"/>
                <w:color w:val="000000"/>
                <w:sz w:val="16"/>
                <w:szCs w:val="16"/>
              </w:rPr>
            </w:pPr>
            <w:r w:rsidRPr="000B75AB">
              <w:rPr>
                <w:rFonts w:cs="Calibri"/>
                <w:b w:val="0"/>
                <w:color w:val="000000"/>
                <w:sz w:val="16"/>
                <w:szCs w:val="16"/>
              </w:rPr>
              <w:t> </w:t>
            </w:r>
            <m:oMath>
              <m:sSup>
                <m:sSupPr>
                  <m:ctrlPr>
                    <w:rPr>
                      <w:rFonts w:ascii="Cambria Math" w:hAnsi="Cambria Math" w:cs="Calibri"/>
                      <w:b w:val="0"/>
                      <w:color w:val="000000"/>
                      <w:sz w:val="16"/>
                      <w:szCs w:val="16"/>
                    </w:rPr>
                  </m:ctrlPr>
                </m:sSupPr>
                <m:e>
                  <m:r>
                    <m:rPr>
                      <m:sty m:val="b"/>
                    </m:rPr>
                    <w:rPr>
                      <w:rFonts w:ascii="Cambria Math" w:hAnsi="Cambria Math" w:cs="Calibri"/>
                      <w:color w:val="000000"/>
                      <w:sz w:val="16"/>
                      <w:szCs w:val="16"/>
                    </w:rPr>
                    <m:t>R</m:t>
                  </m:r>
                </m:e>
                <m:sup>
                  <m:r>
                    <m:rPr>
                      <m:sty m:val="b"/>
                    </m:rPr>
                    <w:rPr>
                      <w:rFonts w:ascii="Cambria Math" w:hAnsi="Cambria Math" w:cs="Calibri"/>
                      <w:color w:val="000000"/>
                      <w:sz w:val="16"/>
                      <w:szCs w:val="16"/>
                    </w:rPr>
                    <m:t xml:space="preserve">2 </m:t>
                  </m:r>
                </m:sup>
              </m:sSup>
              <m:r>
                <m:rPr>
                  <m:sty m:val="bi"/>
                </m:rPr>
                <w:rPr>
                  <w:rFonts w:ascii="Cambria Math" w:hAnsi="Cambria Math" w:cs="Calibri"/>
                  <w:color w:val="000000"/>
                  <w:sz w:val="16"/>
                  <w:szCs w:val="16"/>
                </w:rPr>
                <m:t xml:space="preserve"> </m:t>
              </m:r>
            </m:oMath>
            <w:r w:rsidRPr="000B75AB">
              <w:rPr>
                <w:rFonts w:cs="Calibri"/>
                <w:b w:val="0"/>
                <w:color w:val="000000"/>
                <w:sz w:val="16"/>
                <w:szCs w:val="16"/>
              </w:rPr>
              <w:t>= 0,94</w:t>
            </w:r>
          </w:p>
        </w:tc>
        <w:tc>
          <w:tcPr>
            <w:tcW w:w="3182" w:type="dxa"/>
            <w:noWrap/>
            <w:hideMark/>
          </w:tcPr>
          <w:p w:rsidR="007605DE" w:rsidRPr="000B75AB"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0B75AB">
              <w:rPr>
                <w:rFonts w:cs="Calibri"/>
                <w:color w:val="000000"/>
                <w:sz w:val="16"/>
                <w:szCs w:val="16"/>
              </w:rPr>
              <w:t>Durbin</w:t>
            </w:r>
            <w:r w:rsidR="00ED0BFE" w:rsidRPr="000B75AB">
              <w:rPr>
                <w:rFonts w:cs="Calibri"/>
                <w:color w:val="000000"/>
                <w:sz w:val="16"/>
                <w:szCs w:val="16"/>
              </w:rPr>
              <w:t>–</w:t>
            </w:r>
            <w:r w:rsidRPr="000B75AB">
              <w:rPr>
                <w:rFonts w:cs="Calibri"/>
                <w:color w:val="000000"/>
                <w:sz w:val="16"/>
                <w:szCs w:val="16"/>
              </w:rPr>
              <w:t>Watson = 1,1</w:t>
            </w:r>
          </w:p>
        </w:tc>
        <w:tc>
          <w:tcPr>
            <w:tcW w:w="1793" w:type="dxa"/>
            <w:noWrap/>
            <w:hideMark/>
          </w:tcPr>
          <w:p w:rsidR="007605DE" w:rsidRPr="000B75AB"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0B75AB">
              <w:rPr>
                <w:rFonts w:cs="Calibri"/>
                <w:color w:val="000000"/>
                <w:sz w:val="16"/>
                <w:szCs w:val="16"/>
              </w:rPr>
              <w:t> </w:t>
            </w:r>
          </w:p>
        </w:tc>
      </w:tr>
    </w:tbl>
    <w:p w:rsidR="007605DE" w:rsidRDefault="007605DE" w:rsidP="007605DE">
      <w:r w:rsidRPr="002559D6">
        <w:t>Ovanstående modell är en l</w:t>
      </w:r>
      <w:r>
        <w:t>injär</w:t>
      </w:r>
      <w:r w:rsidRPr="002559D6">
        <w:t xml:space="preserve"> modell.</w:t>
      </w:r>
    </w:p>
    <w:p w:rsidR="007605DE" w:rsidRDefault="007605DE" w:rsidP="007605DE">
      <w:r>
        <w:br w:type="page"/>
      </w:r>
    </w:p>
    <w:p w:rsidR="007605DE" w:rsidRPr="002559D6" w:rsidRDefault="007605DE" w:rsidP="007605DE">
      <w:pPr>
        <w:rPr>
          <w:sz w:val="16"/>
          <w:szCs w:val="16"/>
        </w:rPr>
      </w:pPr>
    </w:p>
    <w:p w:rsidR="007605DE" w:rsidRPr="000B75AB" w:rsidRDefault="000B75AB" w:rsidP="007605DE">
      <w:r>
        <w:t>För utflödet av narkotikabrott har en konstant modell använts</w:t>
      </w:r>
      <w:r w:rsidR="007605DE" w:rsidRPr="00A0779F">
        <w:t xml:space="preserve">, vilket innebär att årets värde sätts till föregående års värde. </w:t>
      </w:r>
      <w:r>
        <w:t>Förklaringsgraden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r>
          <m:rPr>
            <m:sty m:val="p"/>
          </m:rPr>
          <w:rPr>
            <w:rFonts w:ascii="Cambria Math" w:hAnsi="Cambria Math"/>
          </w:rPr>
          <m:t>) är 0,44.</m:t>
        </m:r>
      </m:oMath>
    </w:p>
    <w:p w:rsidR="007605DE" w:rsidRPr="002559D6" w:rsidRDefault="007605DE" w:rsidP="007605DE">
      <w:pPr>
        <w:rPr>
          <w:sz w:val="16"/>
          <w:szCs w:val="16"/>
        </w:rPr>
      </w:pPr>
      <w:r>
        <w:t>För att få fram prognosen för utflödet</w:t>
      </w:r>
      <w:r w:rsidR="000B75AB">
        <w:t xml:space="preserve"> av </w:t>
      </w:r>
      <w:r w:rsidR="000B75AB" w:rsidRPr="000B75AB">
        <w:rPr>
          <w:i/>
        </w:rPr>
        <w:t>trafikbrott</w:t>
      </w:r>
      <w:r>
        <w:t xml:space="preserve"> har redovisningsandelen för 2013 använts tillsammans med prognosen för inflödet (se tabell </w:t>
      </w:r>
      <w:r w:rsidR="00B655F2">
        <w:t>7</w:t>
      </w:r>
      <w:r>
        <w:t xml:space="preserve">). </w:t>
      </w:r>
    </w:p>
    <w:p w:rsidR="007605DE" w:rsidRDefault="000B75AB" w:rsidP="007605DE">
      <w:r>
        <w:t xml:space="preserve">För utflödet av </w:t>
      </w:r>
      <w:r w:rsidRPr="000B75AB">
        <w:rPr>
          <w:i/>
        </w:rPr>
        <w:t>tillgrepp i butik</w:t>
      </w:r>
      <w:r>
        <w:t xml:space="preserve"> </w:t>
      </w:r>
      <w:r w:rsidR="007605DE" w:rsidRPr="00915FDA">
        <w:t>har ingen statistisk modell applicerats.</w:t>
      </w:r>
      <w:r w:rsidR="007605DE">
        <w:t xml:space="preserve"> </w:t>
      </w:r>
      <w:r w:rsidR="007605DE" w:rsidRPr="00915FDA">
        <w:t>Här har prognosvärdet för 201</w:t>
      </w:r>
      <w:r w:rsidR="007605DE">
        <w:t>4 satts till 2013</w:t>
      </w:r>
      <w:r w:rsidR="007605DE" w:rsidRPr="00915FDA">
        <w:t xml:space="preserve"> års värde subtraherat med beloppet som motsvarar den </w:t>
      </w:r>
      <w:r w:rsidR="007605DE">
        <w:t xml:space="preserve">genomsnittliga </w:t>
      </w:r>
      <w:r w:rsidR="007605DE" w:rsidRPr="00915FDA">
        <w:t>procentuella nedgången 2011</w:t>
      </w:r>
      <w:r w:rsidR="007605DE">
        <w:t xml:space="preserve"> och </w:t>
      </w:r>
      <w:r w:rsidR="007605DE" w:rsidRPr="00915FDA">
        <w:t xml:space="preserve">2012. </w:t>
      </w:r>
      <w:r w:rsidR="007605DE">
        <w:t>Samma princip har använts för resten av prognosperioden vilket innebär att föregående års prognosticerade värde subtraheras med den genomsnittliga minskningen under 2011 och 2012.</w:t>
      </w:r>
    </w:p>
    <w:p w:rsidR="00F5693E" w:rsidRPr="00F5693E" w:rsidRDefault="00F5693E" w:rsidP="007605DE">
      <w:pPr>
        <w:rPr>
          <w:b/>
        </w:rPr>
      </w:pPr>
      <w:r w:rsidRPr="00F5693E">
        <w:rPr>
          <w:rFonts w:cs="Calibri"/>
          <w:b/>
          <w:i/>
          <w:iCs/>
          <w:color w:val="000000"/>
          <w:sz w:val="16"/>
          <w:szCs w:val="16"/>
        </w:rPr>
        <w:t>Tabell 1</w:t>
      </w:r>
      <w:r w:rsidR="00C128AF">
        <w:rPr>
          <w:rFonts w:cs="Calibri"/>
          <w:b/>
          <w:i/>
          <w:iCs/>
          <w:color w:val="000000"/>
          <w:sz w:val="16"/>
          <w:szCs w:val="16"/>
        </w:rPr>
        <w:t>4</w:t>
      </w:r>
      <w:r w:rsidRPr="00F5693E">
        <w:rPr>
          <w:rFonts w:cs="Calibri"/>
          <w:b/>
          <w:i/>
          <w:iCs/>
          <w:color w:val="000000"/>
          <w:sz w:val="16"/>
          <w:szCs w:val="16"/>
        </w:rPr>
        <w:t xml:space="preserve">. Modell över kategorin Bedrägeribrott </w:t>
      </w:r>
      <w:r w:rsidR="00DD75BD" w:rsidRPr="00F5693E">
        <w:rPr>
          <w:rFonts w:cs="Calibri"/>
          <w:b/>
          <w:i/>
          <w:iCs/>
          <w:color w:val="000000"/>
          <w:sz w:val="16"/>
          <w:szCs w:val="16"/>
        </w:rPr>
        <w:t>etc.</w:t>
      </w:r>
      <w:r w:rsidRPr="00F5693E">
        <w:rPr>
          <w:rFonts w:cs="Calibri"/>
          <w:b/>
          <w:i/>
          <w:iCs/>
          <w:color w:val="000000"/>
          <w:sz w:val="16"/>
          <w:szCs w:val="16"/>
        </w:rPr>
        <w:t xml:space="preserve"> (2000–2013)</w:t>
      </w:r>
    </w:p>
    <w:tbl>
      <w:tblPr>
        <w:tblStyle w:val="Ljuslista-dekorfrg3"/>
        <w:tblW w:w="7196" w:type="dxa"/>
        <w:tblLook w:val="04A0" w:firstRow="1" w:lastRow="0" w:firstColumn="1" w:lastColumn="0" w:noHBand="0" w:noVBand="1"/>
      </w:tblPr>
      <w:tblGrid>
        <w:gridCol w:w="2221"/>
        <w:gridCol w:w="3182"/>
        <w:gridCol w:w="1793"/>
      </w:tblGrid>
      <w:tr w:rsidR="007605DE" w:rsidRPr="002559D6" w:rsidTr="00932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2559D6" w:rsidRDefault="007605DE" w:rsidP="00FB33C7">
            <w:pPr>
              <w:rPr>
                <w:rFonts w:cs="Calibri"/>
                <w:color w:val="000000"/>
                <w:sz w:val="16"/>
                <w:szCs w:val="16"/>
              </w:rPr>
            </w:pPr>
            <w:r w:rsidRPr="002559D6">
              <w:rPr>
                <w:rFonts w:cs="Calibri"/>
                <w:color w:val="000000"/>
                <w:sz w:val="16"/>
                <w:szCs w:val="16"/>
              </w:rPr>
              <w:t>Parameter</w:t>
            </w:r>
          </w:p>
        </w:tc>
        <w:tc>
          <w:tcPr>
            <w:tcW w:w="3182" w:type="dxa"/>
            <w:noWrap/>
            <w:hideMark/>
          </w:tcPr>
          <w:p w:rsidR="007605DE" w:rsidRPr="002559D6"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Koefficient</w:t>
            </w:r>
          </w:p>
        </w:tc>
        <w:tc>
          <w:tcPr>
            <w:tcW w:w="1793" w:type="dxa"/>
            <w:noWrap/>
            <w:hideMark/>
          </w:tcPr>
          <w:p w:rsidR="007605DE" w:rsidRPr="002559D6"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p</w:t>
            </w:r>
            <w:r w:rsidR="00ED0BFE">
              <w:rPr>
                <w:rFonts w:cs="Calibri"/>
                <w:color w:val="000000"/>
                <w:sz w:val="16"/>
                <w:szCs w:val="16"/>
              </w:rPr>
              <w:t>–</w:t>
            </w:r>
            <w:r w:rsidRPr="002559D6">
              <w:rPr>
                <w:rFonts w:cs="Calibri"/>
                <w:color w:val="000000"/>
                <w:sz w:val="16"/>
                <w:szCs w:val="16"/>
              </w:rPr>
              <w:t>värde</w:t>
            </w:r>
          </w:p>
        </w:tc>
      </w:tr>
      <w:tr w:rsidR="007605DE" w:rsidRPr="00F5693E"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5693E" w:rsidRDefault="007605DE" w:rsidP="00FB33C7">
            <w:pPr>
              <w:rPr>
                <w:rFonts w:cs="Calibri"/>
                <w:b w:val="0"/>
                <w:color w:val="000000"/>
                <w:sz w:val="16"/>
                <w:szCs w:val="16"/>
              </w:rPr>
            </w:pPr>
            <w:r w:rsidRPr="00F5693E">
              <w:rPr>
                <w:rFonts w:cs="Calibri"/>
                <w:b w:val="0"/>
                <w:color w:val="000000"/>
                <w:sz w:val="16"/>
                <w:szCs w:val="16"/>
              </w:rPr>
              <w:t>Intercept</w:t>
            </w:r>
          </w:p>
        </w:tc>
        <w:tc>
          <w:tcPr>
            <w:tcW w:w="3182" w:type="dxa"/>
            <w:noWrap/>
          </w:tcPr>
          <w:p w:rsidR="007605DE" w:rsidRPr="00F5693E"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5693E">
              <w:rPr>
                <w:rFonts w:cs="Calibri"/>
                <w:color w:val="000000"/>
                <w:sz w:val="16"/>
                <w:szCs w:val="16"/>
              </w:rPr>
              <w:t>4 230</w:t>
            </w:r>
          </w:p>
        </w:tc>
        <w:tc>
          <w:tcPr>
            <w:tcW w:w="1793" w:type="dxa"/>
            <w:noWrap/>
          </w:tcPr>
          <w:p w:rsidR="007605DE" w:rsidRPr="00F5693E"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5693E">
              <w:rPr>
                <w:rFonts w:cs="Calibri"/>
                <w:color w:val="000000"/>
                <w:sz w:val="16"/>
                <w:szCs w:val="16"/>
              </w:rPr>
              <w:t>&lt; 0,001</w:t>
            </w:r>
          </w:p>
        </w:tc>
      </w:tr>
      <w:tr w:rsidR="007605DE" w:rsidRPr="00F5693E" w:rsidTr="009324E4">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5693E" w:rsidRDefault="007605DE" w:rsidP="00FB33C7">
            <w:pPr>
              <w:rPr>
                <w:rFonts w:cs="Calibri"/>
                <w:b w:val="0"/>
                <w:color w:val="000000"/>
                <w:sz w:val="16"/>
                <w:szCs w:val="16"/>
              </w:rPr>
            </w:pPr>
            <w:r w:rsidRPr="00F5693E">
              <w:rPr>
                <w:rFonts w:cs="Calibri"/>
                <w:b w:val="0"/>
                <w:color w:val="000000"/>
                <w:sz w:val="16"/>
                <w:szCs w:val="16"/>
              </w:rPr>
              <w:t>Tid</w:t>
            </w:r>
          </w:p>
        </w:tc>
        <w:tc>
          <w:tcPr>
            <w:tcW w:w="3182" w:type="dxa"/>
            <w:noWrap/>
          </w:tcPr>
          <w:p w:rsidR="007605DE" w:rsidRPr="00F5693E"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F5693E">
              <w:rPr>
                <w:rFonts w:cs="Calibri"/>
                <w:color w:val="000000"/>
                <w:sz w:val="16"/>
                <w:szCs w:val="16"/>
              </w:rPr>
              <w:t xml:space="preserve"> 698</w:t>
            </w:r>
          </w:p>
        </w:tc>
        <w:tc>
          <w:tcPr>
            <w:tcW w:w="1793" w:type="dxa"/>
            <w:noWrap/>
          </w:tcPr>
          <w:p w:rsidR="007605DE" w:rsidRPr="00F5693E"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F5693E">
              <w:rPr>
                <w:rFonts w:cs="Calibri"/>
                <w:color w:val="000000"/>
                <w:sz w:val="16"/>
                <w:szCs w:val="16"/>
              </w:rPr>
              <w:t>&lt; 0,001</w:t>
            </w:r>
          </w:p>
        </w:tc>
      </w:tr>
      <w:tr w:rsidR="007605DE" w:rsidRPr="00F5693E" w:rsidTr="009324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5693E" w:rsidRDefault="007605DE" w:rsidP="00FB33C7">
            <w:pPr>
              <w:rPr>
                <w:rFonts w:cs="Calibri"/>
                <w:b w:val="0"/>
                <w:color w:val="000000"/>
                <w:sz w:val="16"/>
                <w:szCs w:val="16"/>
              </w:rPr>
            </w:pPr>
            <w:r w:rsidRPr="00F5693E">
              <w:rPr>
                <w:rFonts w:cs="Calibri"/>
                <w:b w:val="0"/>
                <w:color w:val="000000"/>
                <w:sz w:val="16"/>
                <w:szCs w:val="16"/>
              </w:rPr>
              <w:t> </w:t>
            </w:r>
            <m:oMath>
              <m:sSup>
                <m:sSupPr>
                  <m:ctrlPr>
                    <w:rPr>
                      <w:rFonts w:ascii="Cambria Math" w:hAnsi="Cambria Math" w:cs="Calibri"/>
                      <w:b w:val="0"/>
                      <w:color w:val="000000"/>
                      <w:sz w:val="16"/>
                      <w:szCs w:val="16"/>
                    </w:rPr>
                  </m:ctrlPr>
                </m:sSupPr>
                <m:e>
                  <m:r>
                    <m:rPr>
                      <m:sty m:val="b"/>
                    </m:rPr>
                    <w:rPr>
                      <w:rFonts w:ascii="Cambria Math" w:hAnsi="Cambria Math" w:cs="Calibri"/>
                      <w:color w:val="000000"/>
                      <w:sz w:val="16"/>
                      <w:szCs w:val="16"/>
                    </w:rPr>
                    <m:t>R</m:t>
                  </m:r>
                </m:e>
                <m:sup>
                  <m:r>
                    <m:rPr>
                      <m:sty m:val="b"/>
                    </m:rPr>
                    <w:rPr>
                      <w:rFonts w:ascii="Cambria Math" w:hAnsi="Cambria Math" w:cs="Calibri"/>
                      <w:color w:val="000000"/>
                      <w:sz w:val="16"/>
                      <w:szCs w:val="16"/>
                    </w:rPr>
                    <m:t>2</m:t>
                  </m:r>
                </m:sup>
              </m:sSup>
              <m:r>
                <m:rPr>
                  <m:sty m:val="bi"/>
                </m:rPr>
                <w:rPr>
                  <w:rFonts w:ascii="Cambria Math" w:hAnsi="Cambria Math" w:cs="Calibri"/>
                  <w:color w:val="000000"/>
                  <w:sz w:val="16"/>
                  <w:szCs w:val="16"/>
                </w:rPr>
                <m:t xml:space="preserve"> </m:t>
              </m:r>
            </m:oMath>
            <w:r w:rsidRPr="00F5693E">
              <w:rPr>
                <w:rFonts w:cs="Calibri"/>
                <w:b w:val="0"/>
                <w:color w:val="000000"/>
                <w:sz w:val="16"/>
                <w:szCs w:val="16"/>
              </w:rPr>
              <w:t>= 0,82</w:t>
            </w:r>
          </w:p>
        </w:tc>
        <w:tc>
          <w:tcPr>
            <w:tcW w:w="3182" w:type="dxa"/>
            <w:noWrap/>
            <w:hideMark/>
          </w:tcPr>
          <w:p w:rsidR="007605DE" w:rsidRPr="00F5693E"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5693E">
              <w:rPr>
                <w:rFonts w:cs="Calibri"/>
                <w:color w:val="000000"/>
                <w:sz w:val="16"/>
                <w:szCs w:val="16"/>
              </w:rPr>
              <w:t>Durbin</w:t>
            </w:r>
            <w:r w:rsidR="00ED0BFE" w:rsidRPr="00F5693E">
              <w:rPr>
                <w:rFonts w:cs="Calibri"/>
                <w:color w:val="000000"/>
                <w:sz w:val="16"/>
                <w:szCs w:val="16"/>
              </w:rPr>
              <w:t>–</w:t>
            </w:r>
            <w:r w:rsidRPr="00F5693E">
              <w:rPr>
                <w:rFonts w:cs="Calibri"/>
                <w:color w:val="000000"/>
                <w:sz w:val="16"/>
                <w:szCs w:val="16"/>
              </w:rPr>
              <w:t>Watson = 0,95</w:t>
            </w:r>
          </w:p>
        </w:tc>
        <w:tc>
          <w:tcPr>
            <w:tcW w:w="1793" w:type="dxa"/>
            <w:noWrap/>
            <w:hideMark/>
          </w:tcPr>
          <w:p w:rsidR="007605DE" w:rsidRPr="00F5693E" w:rsidRDefault="007605DE" w:rsidP="00FB33C7">
            <w:pP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p>
        </w:tc>
      </w:tr>
    </w:tbl>
    <w:p w:rsidR="007605DE" w:rsidRDefault="007605DE" w:rsidP="007605DE">
      <w:r w:rsidRPr="00D52CCD">
        <w:t>Ovanstående modell är en linjär modell</w:t>
      </w:r>
      <w:r>
        <w:t>.</w:t>
      </w:r>
    </w:p>
    <w:p w:rsidR="00F5693E" w:rsidRPr="00F5693E" w:rsidRDefault="00F5693E" w:rsidP="007605DE">
      <w:pPr>
        <w:rPr>
          <w:b/>
          <w:sz w:val="16"/>
          <w:szCs w:val="16"/>
        </w:rPr>
      </w:pPr>
      <w:r w:rsidRPr="00F5693E">
        <w:rPr>
          <w:rFonts w:cs="Calibri"/>
          <w:b/>
          <w:i/>
          <w:iCs/>
          <w:color w:val="000000"/>
          <w:sz w:val="16"/>
          <w:szCs w:val="16"/>
        </w:rPr>
        <w:t xml:space="preserve">Tabell </w:t>
      </w:r>
      <w:r w:rsidR="00C128AF">
        <w:rPr>
          <w:rFonts w:cs="Calibri"/>
          <w:b/>
          <w:i/>
          <w:iCs/>
          <w:color w:val="000000"/>
          <w:sz w:val="16"/>
          <w:szCs w:val="16"/>
        </w:rPr>
        <w:t>15</w:t>
      </w:r>
      <w:r w:rsidRPr="00F5693E">
        <w:rPr>
          <w:rFonts w:cs="Calibri"/>
          <w:b/>
          <w:i/>
          <w:iCs/>
          <w:color w:val="000000"/>
          <w:sz w:val="16"/>
          <w:szCs w:val="16"/>
        </w:rPr>
        <w:t>. Modell över kategorin Övriga BrB–brott (2000–2013)</w:t>
      </w:r>
    </w:p>
    <w:tbl>
      <w:tblPr>
        <w:tblStyle w:val="Ljuslista-dekorfrg3"/>
        <w:tblW w:w="7196" w:type="dxa"/>
        <w:tblLook w:val="04A0" w:firstRow="1" w:lastRow="0" w:firstColumn="1" w:lastColumn="0" w:noHBand="0" w:noVBand="1"/>
      </w:tblPr>
      <w:tblGrid>
        <w:gridCol w:w="2221"/>
        <w:gridCol w:w="3182"/>
        <w:gridCol w:w="1793"/>
      </w:tblGrid>
      <w:tr w:rsidR="007605DE" w:rsidRPr="002559D6" w:rsidTr="00932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2559D6" w:rsidRDefault="007605DE" w:rsidP="00FB33C7">
            <w:pPr>
              <w:rPr>
                <w:rFonts w:cs="Calibri"/>
                <w:color w:val="000000"/>
                <w:sz w:val="16"/>
                <w:szCs w:val="16"/>
              </w:rPr>
            </w:pPr>
            <w:r w:rsidRPr="002559D6">
              <w:rPr>
                <w:rFonts w:cs="Calibri"/>
                <w:color w:val="000000"/>
                <w:sz w:val="16"/>
                <w:szCs w:val="16"/>
              </w:rPr>
              <w:t>Parameter</w:t>
            </w:r>
          </w:p>
        </w:tc>
        <w:tc>
          <w:tcPr>
            <w:tcW w:w="3182" w:type="dxa"/>
            <w:noWrap/>
            <w:hideMark/>
          </w:tcPr>
          <w:p w:rsidR="007605DE" w:rsidRPr="002559D6"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Koefficient</w:t>
            </w:r>
          </w:p>
        </w:tc>
        <w:tc>
          <w:tcPr>
            <w:tcW w:w="1793" w:type="dxa"/>
            <w:noWrap/>
            <w:hideMark/>
          </w:tcPr>
          <w:p w:rsidR="007605DE" w:rsidRPr="002559D6"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p</w:t>
            </w:r>
            <w:r w:rsidR="00ED0BFE">
              <w:rPr>
                <w:rFonts w:cs="Calibri"/>
                <w:color w:val="000000"/>
                <w:sz w:val="16"/>
                <w:szCs w:val="16"/>
              </w:rPr>
              <w:t>–</w:t>
            </w:r>
            <w:r w:rsidRPr="002559D6">
              <w:rPr>
                <w:rFonts w:cs="Calibri"/>
                <w:color w:val="000000"/>
                <w:sz w:val="16"/>
                <w:szCs w:val="16"/>
              </w:rPr>
              <w:t>värde</w:t>
            </w:r>
          </w:p>
        </w:tc>
      </w:tr>
      <w:tr w:rsidR="007605DE" w:rsidRPr="00F5693E"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5693E" w:rsidRDefault="007605DE" w:rsidP="00FB33C7">
            <w:pPr>
              <w:rPr>
                <w:rFonts w:cs="Calibri"/>
                <w:b w:val="0"/>
                <w:color w:val="000000"/>
                <w:sz w:val="16"/>
                <w:szCs w:val="16"/>
              </w:rPr>
            </w:pPr>
            <w:r w:rsidRPr="00F5693E">
              <w:rPr>
                <w:rFonts w:cs="Calibri"/>
                <w:b w:val="0"/>
                <w:color w:val="000000"/>
                <w:sz w:val="16"/>
                <w:szCs w:val="16"/>
              </w:rPr>
              <w:t>Intercept</w:t>
            </w:r>
          </w:p>
        </w:tc>
        <w:tc>
          <w:tcPr>
            <w:tcW w:w="3182" w:type="dxa"/>
            <w:noWrap/>
          </w:tcPr>
          <w:p w:rsidR="007605DE" w:rsidRPr="00F5693E"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5693E">
              <w:rPr>
                <w:rFonts w:cs="Calibri"/>
                <w:color w:val="000000"/>
                <w:sz w:val="16"/>
                <w:szCs w:val="16"/>
              </w:rPr>
              <w:t>4 230</w:t>
            </w:r>
          </w:p>
        </w:tc>
        <w:tc>
          <w:tcPr>
            <w:tcW w:w="1793" w:type="dxa"/>
            <w:noWrap/>
          </w:tcPr>
          <w:p w:rsidR="007605DE" w:rsidRPr="00F5693E"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5693E">
              <w:rPr>
                <w:rFonts w:cs="Calibri"/>
                <w:color w:val="000000"/>
                <w:sz w:val="16"/>
                <w:szCs w:val="16"/>
              </w:rPr>
              <w:t>&lt; 0,001</w:t>
            </w:r>
          </w:p>
        </w:tc>
      </w:tr>
      <w:tr w:rsidR="007605DE" w:rsidRPr="00F5693E" w:rsidTr="009324E4">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5693E" w:rsidRDefault="007605DE" w:rsidP="00FB33C7">
            <w:pPr>
              <w:rPr>
                <w:rFonts w:cs="Calibri"/>
                <w:b w:val="0"/>
                <w:color w:val="000000"/>
                <w:sz w:val="16"/>
                <w:szCs w:val="16"/>
              </w:rPr>
            </w:pPr>
            <w:r w:rsidRPr="00F5693E">
              <w:rPr>
                <w:rFonts w:cs="Calibri"/>
                <w:b w:val="0"/>
                <w:color w:val="000000"/>
                <w:sz w:val="16"/>
                <w:szCs w:val="16"/>
              </w:rPr>
              <w:t>Tid</w:t>
            </w:r>
          </w:p>
        </w:tc>
        <w:tc>
          <w:tcPr>
            <w:tcW w:w="3182" w:type="dxa"/>
            <w:noWrap/>
          </w:tcPr>
          <w:p w:rsidR="007605DE" w:rsidRPr="00F5693E"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F5693E">
              <w:rPr>
                <w:rFonts w:cs="Calibri"/>
                <w:color w:val="000000"/>
                <w:sz w:val="16"/>
                <w:szCs w:val="16"/>
              </w:rPr>
              <w:t xml:space="preserve"> 698</w:t>
            </w:r>
          </w:p>
        </w:tc>
        <w:tc>
          <w:tcPr>
            <w:tcW w:w="1793" w:type="dxa"/>
            <w:noWrap/>
          </w:tcPr>
          <w:p w:rsidR="007605DE" w:rsidRPr="00F5693E"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F5693E">
              <w:rPr>
                <w:rFonts w:cs="Calibri"/>
                <w:color w:val="000000"/>
                <w:sz w:val="16"/>
                <w:szCs w:val="16"/>
              </w:rPr>
              <w:t>&lt; 0,001</w:t>
            </w:r>
          </w:p>
        </w:tc>
      </w:tr>
      <w:tr w:rsidR="007605DE" w:rsidRPr="00F5693E" w:rsidTr="009324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5693E" w:rsidRDefault="007605DE" w:rsidP="00FB33C7">
            <w:pPr>
              <w:rPr>
                <w:rFonts w:cs="Calibri"/>
                <w:b w:val="0"/>
                <w:color w:val="000000"/>
                <w:sz w:val="16"/>
                <w:szCs w:val="16"/>
              </w:rPr>
            </w:pPr>
            <w:r w:rsidRPr="00F5693E">
              <w:rPr>
                <w:rFonts w:cs="Calibri"/>
                <w:b w:val="0"/>
                <w:color w:val="000000"/>
                <w:sz w:val="16"/>
                <w:szCs w:val="16"/>
              </w:rPr>
              <w:t> </w:t>
            </w:r>
            <m:oMath>
              <m:sSup>
                <m:sSupPr>
                  <m:ctrlPr>
                    <w:rPr>
                      <w:rFonts w:ascii="Cambria Math" w:hAnsi="Cambria Math" w:cs="Calibri"/>
                      <w:b w:val="0"/>
                      <w:color w:val="000000"/>
                      <w:sz w:val="16"/>
                      <w:szCs w:val="16"/>
                    </w:rPr>
                  </m:ctrlPr>
                </m:sSupPr>
                <m:e>
                  <m:r>
                    <m:rPr>
                      <m:sty m:val="b"/>
                    </m:rPr>
                    <w:rPr>
                      <w:rFonts w:ascii="Cambria Math" w:hAnsi="Cambria Math" w:cs="Calibri"/>
                      <w:color w:val="000000"/>
                      <w:sz w:val="16"/>
                      <w:szCs w:val="16"/>
                    </w:rPr>
                    <m:t>R</m:t>
                  </m:r>
                </m:e>
                <m:sup>
                  <m:r>
                    <m:rPr>
                      <m:sty m:val="b"/>
                    </m:rPr>
                    <w:rPr>
                      <w:rFonts w:ascii="Cambria Math" w:hAnsi="Cambria Math" w:cs="Calibri"/>
                      <w:color w:val="000000"/>
                      <w:sz w:val="16"/>
                      <w:szCs w:val="16"/>
                    </w:rPr>
                    <m:t>2</m:t>
                  </m:r>
                </m:sup>
              </m:sSup>
              <m:r>
                <m:rPr>
                  <m:sty m:val="bi"/>
                </m:rPr>
                <w:rPr>
                  <w:rFonts w:ascii="Cambria Math" w:hAnsi="Cambria Math" w:cs="Calibri"/>
                  <w:color w:val="000000"/>
                  <w:sz w:val="16"/>
                  <w:szCs w:val="16"/>
                </w:rPr>
                <m:t xml:space="preserve"> </m:t>
              </m:r>
            </m:oMath>
            <w:r w:rsidRPr="00F5693E">
              <w:rPr>
                <w:rFonts w:cs="Calibri"/>
                <w:b w:val="0"/>
                <w:color w:val="000000"/>
                <w:sz w:val="16"/>
                <w:szCs w:val="16"/>
              </w:rPr>
              <w:t>= 0,82</w:t>
            </w:r>
          </w:p>
        </w:tc>
        <w:tc>
          <w:tcPr>
            <w:tcW w:w="3182" w:type="dxa"/>
            <w:noWrap/>
            <w:hideMark/>
          </w:tcPr>
          <w:p w:rsidR="007605DE" w:rsidRPr="00F5693E"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5693E">
              <w:rPr>
                <w:rFonts w:cs="Calibri"/>
                <w:color w:val="000000"/>
                <w:sz w:val="16"/>
                <w:szCs w:val="16"/>
              </w:rPr>
              <w:t>Durbin</w:t>
            </w:r>
            <w:r w:rsidR="00ED0BFE" w:rsidRPr="00F5693E">
              <w:rPr>
                <w:rFonts w:cs="Calibri"/>
                <w:color w:val="000000"/>
                <w:sz w:val="16"/>
                <w:szCs w:val="16"/>
              </w:rPr>
              <w:t>–</w:t>
            </w:r>
            <w:r w:rsidRPr="00F5693E">
              <w:rPr>
                <w:rFonts w:cs="Calibri"/>
                <w:color w:val="000000"/>
                <w:sz w:val="16"/>
                <w:szCs w:val="16"/>
              </w:rPr>
              <w:t>Watson = 0,95</w:t>
            </w:r>
          </w:p>
        </w:tc>
        <w:tc>
          <w:tcPr>
            <w:tcW w:w="1793" w:type="dxa"/>
            <w:noWrap/>
            <w:hideMark/>
          </w:tcPr>
          <w:p w:rsidR="007605DE" w:rsidRPr="00F5693E" w:rsidRDefault="007605DE" w:rsidP="00FB33C7">
            <w:pP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p>
        </w:tc>
      </w:tr>
    </w:tbl>
    <w:p w:rsidR="007605DE" w:rsidRDefault="007605DE" w:rsidP="007605DE">
      <w:r w:rsidRPr="002559D6">
        <w:t>Ovanstående modell är en linjär modell.</w:t>
      </w:r>
      <w:r>
        <w:t xml:space="preserve"> Modellen avser dock redovisningsandelen, dvs. andel ärenden redovisade till åklagare av inkomna ärenden. Denna modell har använts tillsammans med prognosen över inflödet (se tabell </w:t>
      </w:r>
      <w:r w:rsidR="00B655F2">
        <w:t>10</w:t>
      </w:r>
      <w:r>
        <w:t>) för att få fram en prognos över utflödet. Detta har gjorts för att det finns en minskande trend i andelen redovisade ärenden till åklagare och denna minskning förväntas fortsätta.</w:t>
      </w:r>
    </w:p>
    <w:p w:rsidR="00F5693E" w:rsidRPr="00F5693E" w:rsidRDefault="00F5693E" w:rsidP="007605DE">
      <w:pPr>
        <w:rPr>
          <w:rFonts w:ascii="Calibri" w:eastAsia="Times New Roman" w:hAnsi="Calibri" w:cs="Times New Roman"/>
          <w:b/>
          <w:i/>
          <w:iCs/>
          <w:color w:val="000000"/>
          <w:lang w:eastAsia="sv-SE"/>
        </w:rPr>
      </w:pPr>
      <w:r w:rsidRPr="00F5693E">
        <w:rPr>
          <w:rFonts w:cs="Calibri"/>
          <w:b/>
          <w:i/>
          <w:iCs/>
          <w:color w:val="000000"/>
          <w:sz w:val="16"/>
          <w:szCs w:val="16"/>
        </w:rPr>
        <w:t xml:space="preserve">Tabell </w:t>
      </w:r>
      <w:r w:rsidR="00C128AF">
        <w:rPr>
          <w:rFonts w:cs="Calibri"/>
          <w:b/>
          <w:i/>
          <w:iCs/>
          <w:color w:val="000000"/>
          <w:sz w:val="16"/>
          <w:szCs w:val="16"/>
        </w:rPr>
        <w:t>16</w:t>
      </w:r>
      <w:r w:rsidRPr="00F5693E">
        <w:rPr>
          <w:rFonts w:cs="Calibri"/>
          <w:b/>
          <w:i/>
          <w:iCs/>
          <w:color w:val="000000"/>
          <w:sz w:val="16"/>
          <w:szCs w:val="16"/>
        </w:rPr>
        <w:t>. Modell över kategorin Övriga specialrättsliga brott (2009–2013)</w:t>
      </w:r>
    </w:p>
    <w:tbl>
      <w:tblPr>
        <w:tblStyle w:val="Ljuslista-dekorfrg3"/>
        <w:tblW w:w="7196" w:type="dxa"/>
        <w:tblLook w:val="04A0" w:firstRow="1" w:lastRow="0" w:firstColumn="1" w:lastColumn="0" w:noHBand="0" w:noVBand="1"/>
      </w:tblPr>
      <w:tblGrid>
        <w:gridCol w:w="2221"/>
        <w:gridCol w:w="3182"/>
        <w:gridCol w:w="1793"/>
      </w:tblGrid>
      <w:tr w:rsidR="007605DE" w:rsidRPr="002559D6" w:rsidTr="00932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2559D6" w:rsidRDefault="007605DE" w:rsidP="00FB33C7">
            <w:pPr>
              <w:rPr>
                <w:rFonts w:cs="Calibri"/>
                <w:color w:val="000000"/>
                <w:sz w:val="16"/>
                <w:szCs w:val="16"/>
              </w:rPr>
            </w:pPr>
            <w:r w:rsidRPr="002559D6">
              <w:rPr>
                <w:rFonts w:cs="Calibri"/>
                <w:color w:val="000000"/>
                <w:sz w:val="16"/>
                <w:szCs w:val="16"/>
              </w:rPr>
              <w:t>Parameter</w:t>
            </w:r>
          </w:p>
        </w:tc>
        <w:tc>
          <w:tcPr>
            <w:tcW w:w="3182" w:type="dxa"/>
            <w:noWrap/>
            <w:hideMark/>
          </w:tcPr>
          <w:p w:rsidR="007605DE" w:rsidRPr="002559D6"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Koefficient</w:t>
            </w:r>
          </w:p>
        </w:tc>
        <w:tc>
          <w:tcPr>
            <w:tcW w:w="1793" w:type="dxa"/>
            <w:noWrap/>
            <w:hideMark/>
          </w:tcPr>
          <w:p w:rsidR="007605DE" w:rsidRPr="002559D6" w:rsidRDefault="007605DE" w:rsidP="00FB33C7">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p</w:t>
            </w:r>
            <w:r w:rsidR="00ED0BFE">
              <w:rPr>
                <w:rFonts w:cs="Calibri"/>
                <w:color w:val="000000"/>
                <w:sz w:val="16"/>
                <w:szCs w:val="16"/>
              </w:rPr>
              <w:t>–</w:t>
            </w:r>
            <w:r w:rsidRPr="002559D6">
              <w:rPr>
                <w:rFonts w:cs="Calibri"/>
                <w:color w:val="000000"/>
                <w:sz w:val="16"/>
                <w:szCs w:val="16"/>
              </w:rPr>
              <w:t>värde</w:t>
            </w:r>
          </w:p>
        </w:tc>
      </w:tr>
      <w:tr w:rsidR="007605DE" w:rsidRPr="00F5693E"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5693E" w:rsidRDefault="007605DE" w:rsidP="00FB33C7">
            <w:pPr>
              <w:rPr>
                <w:rFonts w:cs="Calibri"/>
                <w:b w:val="0"/>
                <w:color w:val="000000"/>
                <w:sz w:val="16"/>
                <w:szCs w:val="16"/>
              </w:rPr>
            </w:pPr>
            <w:r w:rsidRPr="00F5693E">
              <w:rPr>
                <w:rFonts w:cs="Calibri"/>
                <w:b w:val="0"/>
                <w:color w:val="000000"/>
                <w:sz w:val="16"/>
                <w:szCs w:val="16"/>
              </w:rPr>
              <w:t>Intercept</w:t>
            </w:r>
          </w:p>
        </w:tc>
        <w:tc>
          <w:tcPr>
            <w:tcW w:w="3182" w:type="dxa"/>
            <w:noWrap/>
          </w:tcPr>
          <w:p w:rsidR="007605DE" w:rsidRPr="00F5693E"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5693E">
              <w:rPr>
                <w:rFonts w:cs="Calibri"/>
                <w:color w:val="000000"/>
                <w:sz w:val="16"/>
                <w:szCs w:val="16"/>
              </w:rPr>
              <w:t>11 260</w:t>
            </w:r>
          </w:p>
        </w:tc>
        <w:tc>
          <w:tcPr>
            <w:tcW w:w="1793" w:type="dxa"/>
            <w:noWrap/>
          </w:tcPr>
          <w:p w:rsidR="007605DE" w:rsidRPr="00F5693E"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5693E">
              <w:rPr>
                <w:rFonts w:cs="Calibri"/>
                <w:color w:val="000000"/>
                <w:sz w:val="16"/>
                <w:szCs w:val="16"/>
              </w:rPr>
              <w:t xml:space="preserve"> 0,001</w:t>
            </w:r>
          </w:p>
        </w:tc>
      </w:tr>
      <w:tr w:rsidR="007605DE" w:rsidRPr="00F5693E" w:rsidTr="009324E4">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5693E" w:rsidRDefault="007605DE" w:rsidP="00FB33C7">
            <w:pPr>
              <w:rPr>
                <w:rFonts w:cs="Calibri"/>
                <w:b w:val="0"/>
                <w:color w:val="000000"/>
                <w:sz w:val="16"/>
                <w:szCs w:val="16"/>
              </w:rPr>
            </w:pPr>
            <w:r w:rsidRPr="00F5693E">
              <w:rPr>
                <w:rFonts w:cs="Calibri"/>
                <w:b w:val="0"/>
                <w:color w:val="000000"/>
                <w:sz w:val="16"/>
                <w:szCs w:val="16"/>
              </w:rPr>
              <w:t>Tid</w:t>
            </w:r>
          </w:p>
        </w:tc>
        <w:tc>
          <w:tcPr>
            <w:tcW w:w="3182" w:type="dxa"/>
            <w:noWrap/>
          </w:tcPr>
          <w:p w:rsidR="007605DE" w:rsidRPr="00F5693E" w:rsidRDefault="00B655F2"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F5693E">
              <w:rPr>
                <w:rFonts w:cs="Calibri"/>
                <w:color w:val="000000"/>
                <w:sz w:val="16"/>
                <w:szCs w:val="16"/>
              </w:rPr>
              <w:t>– 579</w:t>
            </w:r>
          </w:p>
        </w:tc>
        <w:tc>
          <w:tcPr>
            <w:tcW w:w="1793" w:type="dxa"/>
            <w:noWrap/>
          </w:tcPr>
          <w:p w:rsidR="007605DE" w:rsidRPr="00F5693E" w:rsidRDefault="007605DE" w:rsidP="00FB33C7">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F5693E">
              <w:rPr>
                <w:rFonts w:cs="Calibri"/>
                <w:color w:val="000000"/>
                <w:sz w:val="16"/>
                <w:szCs w:val="16"/>
              </w:rPr>
              <w:t>0,075</w:t>
            </w:r>
          </w:p>
        </w:tc>
      </w:tr>
      <w:tr w:rsidR="007605DE" w:rsidRPr="00F5693E" w:rsidTr="009324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7605DE" w:rsidRPr="00F5693E" w:rsidRDefault="007605DE" w:rsidP="00FB33C7">
            <w:pPr>
              <w:rPr>
                <w:rFonts w:cs="Calibri"/>
                <w:b w:val="0"/>
                <w:color w:val="000000"/>
                <w:sz w:val="16"/>
                <w:szCs w:val="16"/>
              </w:rPr>
            </w:pPr>
            <w:r w:rsidRPr="00F5693E">
              <w:rPr>
                <w:rFonts w:cs="Calibri"/>
                <w:b w:val="0"/>
                <w:color w:val="000000"/>
                <w:sz w:val="16"/>
                <w:szCs w:val="16"/>
              </w:rPr>
              <w:t> </w:t>
            </w:r>
            <m:oMath>
              <m:sSup>
                <m:sSupPr>
                  <m:ctrlPr>
                    <w:rPr>
                      <w:rFonts w:ascii="Cambria Math" w:hAnsi="Cambria Math" w:cs="Calibri"/>
                      <w:b w:val="0"/>
                      <w:color w:val="000000"/>
                      <w:sz w:val="16"/>
                      <w:szCs w:val="16"/>
                    </w:rPr>
                  </m:ctrlPr>
                </m:sSupPr>
                <m:e>
                  <m:r>
                    <m:rPr>
                      <m:sty m:val="b"/>
                    </m:rPr>
                    <w:rPr>
                      <w:rFonts w:ascii="Cambria Math" w:hAnsi="Cambria Math" w:cs="Calibri"/>
                      <w:color w:val="000000"/>
                      <w:sz w:val="16"/>
                      <w:szCs w:val="16"/>
                    </w:rPr>
                    <m:t>R</m:t>
                  </m:r>
                </m:e>
                <m:sup>
                  <m:r>
                    <m:rPr>
                      <m:sty m:val="b"/>
                    </m:rPr>
                    <w:rPr>
                      <w:rFonts w:ascii="Cambria Math" w:hAnsi="Cambria Math" w:cs="Calibri"/>
                      <w:color w:val="000000"/>
                      <w:sz w:val="16"/>
                      <w:szCs w:val="16"/>
                    </w:rPr>
                    <m:t>2</m:t>
                  </m:r>
                </m:sup>
              </m:sSup>
              <m:r>
                <m:rPr>
                  <m:sty m:val="bi"/>
                </m:rPr>
                <w:rPr>
                  <w:rFonts w:ascii="Cambria Math" w:hAnsi="Cambria Math" w:cs="Calibri"/>
                  <w:color w:val="000000"/>
                  <w:sz w:val="16"/>
                  <w:szCs w:val="16"/>
                </w:rPr>
                <m:t xml:space="preserve"> </m:t>
              </m:r>
            </m:oMath>
            <w:r w:rsidRPr="00F5693E">
              <w:rPr>
                <w:rFonts w:cs="Calibri"/>
                <w:b w:val="0"/>
                <w:color w:val="000000"/>
                <w:sz w:val="16"/>
                <w:szCs w:val="16"/>
              </w:rPr>
              <w:t>= 0,71</w:t>
            </w:r>
          </w:p>
        </w:tc>
        <w:tc>
          <w:tcPr>
            <w:tcW w:w="3182" w:type="dxa"/>
            <w:noWrap/>
            <w:hideMark/>
          </w:tcPr>
          <w:p w:rsidR="007605DE" w:rsidRPr="00F5693E" w:rsidRDefault="007605DE" w:rsidP="00FB33C7">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5693E">
              <w:rPr>
                <w:rFonts w:cs="Calibri"/>
                <w:color w:val="000000"/>
                <w:sz w:val="16"/>
                <w:szCs w:val="16"/>
              </w:rPr>
              <w:t>Durbin</w:t>
            </w:r>
            <w:r w:rsidR="00ED0BFE" w:rsidRPr="00F5693E">
              <w:rPr>
                <w:rFonts w:cs="Calibri"/>
                <w:color w:val="000000"/>
                <w:sz w:val="16"/>
                <w:szCs w:val="16"/>
              </w:rPr>
              <w:t>–</w:t>
            </w:r>
            <w:r w:rsidRPr="00F5693E">
              <w:rPr>
                <w:rFonts w:cs="Calibri"/>
                <w:color w:val="000000"/>
                <w:sz w:val="16"/>
                <w:szCs w:val="16"/>
              </w:rPr>
              <w:t>Watson = 1,7</w:t>
            </w:r>
          </w:p>
        </w:tc>
        <w:tc>
          <w:tcPr>
            <w:tcW w:w="1793" w:type="dxa"/>
            <w:noWrap/>
            <w:hideMark/>
          </w:tcPr>
          <w:p w:rsidR="007605DE" w:rsidRPr="00F5693E" w:rsidRDefault="007605DE" w:rsidP="00FB33C7">
            <w:pP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5693E">
              <w:rPr>
                <w:rFonts w:cs="Calibri"/>
                <w:color w:val="000000"/>
                <w:sz w:val="16"/>
                <w:szCs w:val="16"/>
              </w:rPr>
              <w:t> </w:t>
            </w:r>
          </w:p>
        </w:tc>
      </w:tr>
    </w:tbl>
    <w:p w:rsidR="00F5693E" w:rsidRDefault="007605DE" w:rsidP="007605DE">
      <w:r w:rsidRPr="00D52CCD">
        <w:t>Ovanstående modell är en linjär modell som anpassats på data för perioden</w:t>
      </w:r>
      <w:r>
        <w:t xml:space="preserve"> 2009</w:t>
      </w:r>
      <w:r w:rsidR="00ED0BFE">
        <w:t>–</w:t>
      </w:r>
      <w:r w:rsidRPr="00D52CCD">
        <w:t>201</w:t>
      </w:r>
      <w:r>
        <w:t>3</w:t>
      </w:r>
      <w:r w:rsidRPr="00D52CCD">
        <w:t>, som är en del av totala datamaterialet (2000</w:t>
      </w:r>
      <w:r w:rsidR="00ED0BFE">
        <w:t>–</w:t>
      </w:r>
      <w:r w:rsidRPr="00D52CCD">
        <w:t>201</w:t>
      </w:r>
      <w:r>
        <w:t>3</w:t>
      </w:r>
      <w:r w:rsidRPr="00D52CCD">
        <w:t>).</w:t>
      </w:r>
    </w:p>
    <w:p w:rsidR="00F5693E" w:rsidRDefault="00F5693E" w:rsidP="00F5693E">
      <w:r>
        <w:br w:type="page"/>
      </w:r>
    </w:p>
    <w:p w:rsidR="00352C0A" w:rsidRPr="002559D6" w:rsidRDefault="00352C0A" w:rsidP="00E2628B">
      <w:pPr>
        <w:pStyle w:val="Rubrik1"/>
        <w:rPr>
          <w:sz w:val="16"/>
          <w:szCs w:val="16"/>
        </w:rPr>
      </w:pPr>
      <w:r w:rsidRPr="002559D6">
        <w:lastRenderedPageBreak/>
        <w:t>Åklagarmyndigheten</w:t>
      </w:r>
    </w:p>
    <w:p w:rsidR="00F76224" w:rsidRDefault="00F76224" w:rsidP="00F76224">
      <w:pPr>
        <w:rPr>
          <w:lang w:eastAsia="sv-SE"/>
        </w:rPr>
      </w:pPr>
      <w:r>
        <w:rPr>
          <w:lang w:eastAsia="sv-SE"/>
        </w:rPr>
        <w:t>Åklagarmyndighetens prognoser baseras på en beräkningsmodell där det framtida in</w:t>
      </w:r>
      <w:r w:rsidR="00AB36A9">
        <w:rPr>
          <w:lang w:eastAsia="sv-SE"/>
        </w:rPr>
        <w:t>-</w:t>
      </w:r>
      <w:r>
        <w:rPr>
          <w:lang w:eastAsia="sv-SE"/>
        </w:rPr>
        <w:t xml:space="preserve"> och utflödet av brottsmisstankar uppskattas. Nedan redovisas de bearbetningssteg som ingår i modellen. </w:t>
      </w:r>
    </w:p>
    <w:p w:rsidR="00F76224" w:rsidRDefault="00F76224" w:rsidP="00F76224">
      <w:pPr>
        <w:rPr>
          <w:lang w:eastAsia="sv-SE"/>
        </w:rPr>
      </w:pPr>
      <w:r w:rsidRPr="0089699B">
        <w:rPr>
          <w:b/>
          <w:lang w:eastAsia="sv-SE"/>
        </w:rPr>
        <w:t>Steg 1.</w:t>
      </w:r>
      <w:r>
        <w:rPr>
          <w:lang w:eastAsia="sv-SE"/>
        </w:rPr>
        <w:t xml:space="preserve"> Inflödet av brottsmisstankar från Polisen beräknas med underlag från Polisens prognos avseende antal ärenden redovisade till åklagare. </w:t>
      </w:r>
      <w:r>
        <w:t xml:space="preserve">Ett utgående ärende hos Polisen motsvarar i </w:t>
      </w:r>
      <w:r w:rsidRPr="00031D5D">
        <w:t>genomsnitt 2,</w:t>
      </w:r>
      <w:r>
        <w:t>6</w:t>
      </w:r>
      <w:r w:rsidRPr="00031D5D">
        <w:t xml:space="preserve"> inkomna </w:t>
      </w:r>
      <w:r>
        <w:t xml:space="preserve">brottsmisstankar hos Åklagarmyndigheten. Denna kvot varierar dock mellan olika brottskategorier. </w:t>
      </w:r>
      <w:r>
        <w:rPr>
          <w:lang w:eastAsia="sv-SE"/>
        </w:rPr>
        <w:t xml:space="preserve">De relationskvoter (förhållandet mellan polisens ärenden och Åklagarmyndighetens brottsmisstankar) som ingår i beräkningsmodellen baseras på historiska relationskvoter per brottskategori. </w:t>
      </w:r>
      <w:r>
        <w:t>Trendframskrivning av historiska relationskvoter har använts för att prognostisera de framtida relationskvoterna.</w:t>
      </w:r>
    </w:p>
    <w:p w:rsidR="00F76224" w:rsidRDefault="00F76224" w:rsidP="00F76224">
      <w:r w:rsidRPr="0089699B">
        <w:rPr>
          <w:b/>
          <w:lang w:eastAsia="sv-SE"/>
        </w:rPr>
        <w:t>Steg 2.</w:t>
      </w:r>
      <w:r>
        <w:rPr>
          <w:lang w:eastAsia="sv-SE"/>
        </w:rPr>
        <w:t xml:space="preserve"> Inflödet av brottsmisstankar från Skatteverket, Tullverket och ”Övriga” under åren 2008</w:t>
      </w:r>
      <w:r w:rsidR="00ED0BFE">
        <w:rPr>
          <w:lang w:eastAsia="sv-SE"/>
        </w:rPr>
        <w:t>–</w:t>
      </w:r>
      <w:r>
        <w:rPr>
          <w:lang w:eastAsia="sv-SE"/>
        </w:rPr>
        <w:t>2013 används som underlag för att prognostisera brottsmisstankeinflödet från dessa källor under prognosperioden 2014</w:t>
      </w:r>
      <w:r w:rsidR="00ED0BFE">
        <w:rPr>
          <w:lang w:eastAsia="sv-SE"/>
        </w:rPr>
        <w:t>–</w:t>
      </w:r>
      <w:r>
        <w:rPr>
          <w:lang w:eastAsia="sv-SE"/>
        </w:rPr>
        <w:t xml:space="preserve">2017. </w:t>
      </w:r>
      <w:r>
        <w:t>Trendframskrivning av historiska volymer, per brottskategori, använts för att prognostisera det framtida inflödet av brottsmisstankar. Av totalt antal inkomna brottsmisstankar till Åklagarmyndigheten svarar Polisen för cirka 98,5% (steg 1 ovan), Tullverket (1,</w:t>
      </w:r>
      <w:r w:rsidR="00AB36A9">
        <w:t>0 %</w:t>
      </w:r>
      <w:r>
        <w:t>), Skatteverket (0,</w:t>
      </w:r>
      <w:r w:rsidR="00AB36A9">
        <w:t>1 %</w:t>
      </w:r>
      <w:r>
        <w:t>) och Övriga (0,</w:t>
      </w:r>
      <w:r w:rsidR="00AB36A9">
        <w:t>5 %</w:t>
      </w:r>
      <w:r>
        <w:t>).</w:t>
      </w:r>
    </w:p>
    <w:p w:rsidR="00F76224" w:rsidRDefault="00F76224" w:rsidP="00F76224">
      <w:r w:rsidRPr="00B03C79">
        <w:rPr>
          <w:b/>
        </w:rPr>
        <w:t>Steg 3.</w:t>
      </w:r>
      <w:r>
        <w:rPr>
          <w:b/>
        </w:rPr>
        <w:t xml:space="preserve"> </w:t>
      </w:r>
      <w:r>
        <w:t>Det prognostiserade inflödet av brottsmisstankar under åren 2014</w:t>
      </w:r>
      <w:r w:rsidR="00ED0BFE">
        <w:t>–</w:t>
      </w:r>
      <w:r>
        <w:t>2017, fördelas efter månad. Underlag för denna beräkning är det månadsfördelade brottsmisstankeinflödet under åren 2008</w:t>
      </w:r>
      <w:r w:rsidR="00ED0BFE">
        <w:t>–</w:t>
      </w:r>
      <w:r>
        <w:t>2013. Grundmaterialet är fördelat efter brottskategori. Denna beräkning baseras på antagandet att den framtida säsongsvariationen per brottskategori är densamma som variationen under perioden 2008</w:t>
      </w:r>
      <w:r w:rsidR="00ED0BFE">
        <w:t>–</w:t>
      </w:r>
      <w:r>
        <w:t>2013.</w:t>
      </w:r>
    </w:p>
    <w:p w:rsidR="00F76224" w:rsidRDefault="00F76224" w:rsidP="00F76224">
      <w:r>
        <w:rPr>
          <w:b/>
        </w:rPr>
        <w:t>Steg 4</w:t>
      </w:r>
      <w:r w:rsidRPr="00B03C79">
        <w:rPr>
          <w:b/>
        </w:rPr>
        <w:t>.</w:t>
      </w:r>
      <w:r>
        <w:rPr>
          <w:b/>
        </w:rPr>
        <w:t xml:space="preserve"> </w:t>
      </w:r>
      <w:r>
        <w:t>Andelen brottsmisstankar med åtalsbeslut av antalet inkomna brottsmisstankar, uppskattas med underlag från perioden 2008</w:t>
      </w:r>
      <w:r w:rsidR="00ED0BFE">
        <w:t>–</w:t>
      </w:r>
      <w:r>
        <w:t>2013. Denna andel varierar mellan brottskategorier (55</w:t>
      </w:r>
      <w:r w:rsidR="00AB36A9">
        <w:t xml:space="preserve"> </w:t>
      </w:r>
      <w:r>
        <w:t>% Trafikbrott, 19</w:t>
      </w:r>
      <w:r w:rsidR="00AB36A9">
        <w:t xml:space="preserve"> </w:t>
      </w:r>
      <w:r>
        <w:t>% Övriga brott mot person), men är relativt konstant över tid. Andelen brottsmisstankar med åtalsbeslut, relateras därefter till det prognostiserade månads</w:t>
      </w:r>
      <w:r w:rsidR="00ED0BFE">
        <w:t>–</w:t>
      </w:r>
      <w:r>
        <w:t xml:space="preserve"> och brottskategoriuppdelade brottsmisstankeinflödet (utfallet från steg 3 ovan).</w:t>
      </w:r>
    </w:p>
    <w:p w:rsidR="00F76224" w:rsidRDefault="00F76224" w:rsidP="00F76224">
      <w:r>
        <w:rPr>
          <w:b/>
        </w:rPr>
        <w:t>Steg 5</w:t>
      </w:r>
      <w:r w:rsidRPr="00B03C79">
        <w:rPr>
          <w:b/>
        </w:rPr>
        <w:t>.</w:t>
      </w:r>
      <w:r>
        <w:rPr>
          <w:b/>
        </w:rPr>
        <w:t xml:space="preserve"> </w:t>
      </w:r>
      <w:r>
        <w:t>Genomströmningstiden fram till åtalsbeslut för brottsmisstankar med åtalsbeslut under åren 2012 och 2013, utför grunden för att prognostisera tidpunkten för det åtalsbeslut under åren 2014</w:t>
      </w:r>
      <w:r w:rsidR="00ED0BFE">
        <w:t>–</w:t>
      </w:r>
      <w:r>
        <w:t xml:space="preserve">2017. Utgångspunkten är en fördelning per månad och brottskategori. </w:t>
      </w:r>
    </w:p>
    <w:p w:rsidR="00F76224" w:rsidRDefault="00F76224" w:rsidP="00F76224">
      <w:r>
        <w:rPr>
          <w:b/>
        </w:rPr>
        <w:t>Steg 6</w:t>
      </w:r>
      <w:r w:rsidRPr="00B03C79">
        <w:rPr>
          <w:b/>
        </w:rPr>
        <w:t>.</w:t>
      </w:r>
      <w:r>
        <w:rPr>
          <w:b/>
        </w:rPr>
        <w:t xml:space="preserve"> </w:t>
      </w:r>
      <w:r>
        <w:t xml:space="preserve">Brottsmisstankar som vid årsskiftet 2013/2014 har inkommit men ännu inte erhållit beslut, ingår inte i beräkningsunderlaget ovan. Denna balansvolym kommer till viss del att generera åtalsbeslut. Andelen åtalsbeslut av denna mängd har uppskattats med underlag från historiska brottmisstankebalanser, fördelat per brottskategori. </w:t>
      </w:r>
    </w:p>
    <w:p w:rsidR="00F76224" w:rsidRDefault="00F76224" w:rsidP="00F76224">
      <w:r>
        <w:rPr>
          <w:b/>
        </w:rPr>
        <w:t>Steg 7</w:t>
      </w:r>
      <w:r w:rsidRPr="00B03C79">
        <w:rPr>
          <w:b/>
        </w:rPr>
        <w:t>.</w:t>
      </w:r>
      <w:r>
        <w:rPr>
          <w:b/>
        </w:rPr>
        <w:t xml:space="preserve"> </w:t>
      </w:r>
      <w:r>
        <w:t xml:space="preserve">Genomströmningstiden från balanstidpunkten till åtalsbeslutet, har används för att fastställa tidpunkten för åtalsbeslutet i prognosen. Detta avser den prognostiserade åtalstidpunkten för brottsmisstankar som ingick i balansen vid tidpunkten 2013/2014. Som underlag för denna beräkning har historisk balansinformation utnyttjats. </w:t>
      </w:r>
    </w:p>
    <w:p w:rsidR="00F76224" w:rsidRDefault="00F76224" w:rsidP="00F76224">
      <w:r w:rsidRPr="000231A7">
        <w:rPr>
          <w:b/>
        </w:rPr>
        <w:t>Steg 8.</w:t>
      </w:r>
      <w:r>
        <w:rPr>
          <w:b/>
        </w:rPr>
        <w:t xml:space="preserve"> </w:t>
      </w:r>
      <w:r>
        <w:t xml:space="preserve">Prognosen avseende antalet brottsmisstankar med åtalsbeslut sammanställs genom en summering av åtalsbeslut som härstammar från det prognostiserade inflödet (steg 5 ovan) och </w:t>
      </w:r>
      <w:r>
        <w:lastRenderedPageBreak/>
        <w:t xml:space="preserve">antalet åtalsbeslut som härstammar från den initiala balansvolymen (steg 7 ovan). Denna beräkning sker per månad och brottskategori.  </w:t>
      </w:r>
    </w:p>
    <w:p w:rsidR="00F76224" w:rsidRDefault="00F76224" w:rsidP="00F76224">
      <w:r>
        <w:t xml:space="preserve">Rimlighetsbedömningar avseende beräkningsmodellen och dess antaganden har gjorts i samarbete med sakkunniga inom myndigheten. I prognosrapporten </w:t>
      </w:r>
      <w:r w:rsidRPr="00CC0D3D">
        <w:rPr>
          <w:lang w:eastAsia="sv-SE"/>
        </w:rPr>
        <w:t xml:space="preserve">återfinns en visualisering av </w:t>
      </w:r>
      <w:r>
        <w:rPr>
          <w:lang w:eastAsia="sv-SE"/>
        </w:rPr>
        <w:t>Åklagarmyndighetens beräkningsmodell.</w:t>
      </w:r>
    </w:p>
    <w:p w:rsidR="0031594F" w:rsidRPr="002559D6" w:rsidRDefault="0031594F" w:rsidP="00E2628B">
      <w:pPr>
        <w:pStyle w:val="Rubrik1"/>
      </w:pPr>
      <w:r>
        <w:t>Ekobrottmyndigheten</w:t>
      </w:r>
    </w:p>
    <w:p w:rsidR="0031594F" w:rsidRDefault="0031594F" w:rsidP="0031594F">
      <w:r w:rsidRPr="00A462F0">
        <w:t xml:space="preserve">Prognoser över </w:t>
      </w:r>
      <w:r w:rsidR="00C47F5D" w:rsidRPr="00A462F0">
        <w:rPr>
          <w:i/>
        </w:rPr>
        <w:t>inkomna</w:t>
      </w:r>
      <w:r w:rsidRPr="00A462F0">
        <w:rPr>
          <w:i/>
        </w:rPr>
        <w:t xml:space="preserve"> ärenden</w:t>
      </w:r>
      <w:r w:rsidRPr="00A462F0">
        <w:t xml:space="preserve"> görs med en ARIMA</w:t>
      </w:r>
      <w:r w:rsidR="00ED0BFE">
        <w:t>–</w:t>
      </w:r>
      <w:r w:rsidRPr="00A462F0">
        <w:t xml:space="preserve">modell som </w:t>
      </w:r>
      <w:r w:rsidR="00461D96" w:rsidRPr="00A462F0">
        <w:t>specificeras</w:t>
      </w:r>
      <w:r w:rsidRPr="00A462F0">
        <w:t xml:space="preserve"> i tabellen nedan.</w:t>
      </w:r>
    </w:p>
    <w:p w:rsidR="00461D96" w:rsidRPr="00A462F0" w:rsidRDefault="00461D96" w:rsidP="0031594F">
      <w:r w:rsidRPr="00707B97">
        <w:rPr>
          <w:rFonts w:cs="Calibri"/>
          <w:b/>
          <w:i/>
          <w:iCs/>
          <w:color w:val="000000"/>
          <w:sz w:val="16"/>
          <w:szCs w:val="16"/>
        </w:rPr>
        <w:t>Tabell</w:t>
      </w:r>
      <w:r w:rsidR="00C128AF">
        <w:rPr>
          <w:rFonts w:cs="Calibri"/>
          <w:b/>
          <w:i/>
          <w:iCs/>
          <w:color w:val="000000"/>
          <w:sz w:val="16"/>
          <w:szCs w:val="16"/>
        </w:rPr>
        <w:t xml:space="preserve"> 17</w:t>
      </w:r>
      <w:r w:rsidRPr="00707B97">
        <w:rPr>
          <w:rFonts w:cs="Calibri"/>
          <w:b/>
          <w:i/>
          <w:iCs/>
          <w:color w:val="000000"/>
          <w:sz w:val="16"/>
          <w:szCs w:val="16"/>
        </w:rPr>
        <w:t>. Modell över inkomna ekobrottsärenden (2008m1–2013m12)</w:t>
      </w:r>
    </w:p>
    <w:tbl>
      <w:tblPr>
        <w:tblStyle w:val="Ljuslista-dekorfrg3"/>
        <w:tblW w:w="7196" w:type="dxa"/>
        <w:tblLook w:val="04A0" w:firstRow="1" w:lastRow="0" w:firstColumn="1" w:lastColumn="0" w:noHBand="0" w:noVBand="1"/>
      </w:tblPr>
      <w:tblGrid>
        <w:gridCol w:w="2480"/>
        <w:gridCol w:w="2306"/>
        <w:gridCol w:w="1843"/>
        <w:gridCol w:w="567"/>
      </w:tblGrid>
      <w:tr w:rsidR="00F25C47" w:rsidRPr="00A462F0" w:rsidTr="009324E4">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80" w:type="dxa"/>
            <w:noWrap/>
            <w:hideMark/>
          </w:tcPr>
          <w:p w:rsidR="00F25C47" w:rsidRPr="00A462F0" w:rsidRDefault="00F25C47" w:rsidP="00E76121">
            <w:pPr>
              <w:rPr>
                <w:rFonts w:cs="Calibri"/>
                <w:color w:val="000000"/>
                <w:sz w:val="16"/>
                <w:szCs w:val="16"/>
              </w:rPr>
            </w:pPr>
            <w:r w:rsidRPr="00A462F0">
              <w:rPr>
                <w:rFonts w:cs="Calibri"/>
                <w:color w:val="000000"/>
                <w:sz w:val="16"/>
                <w:szCs w:val="16"/>
              </w:rPr>
              <w:t>Parameter</w:t>
            </w:r>
          </w:p>
        </w:tc>
        <w:tc>
          <w:tcPr>
            <w:tcW w:w="2306" w:type="dxa"/>
            <w:noWrap/>
            <w:hideMark/>
          </w:tcPr>
          <w:p w:rsidR="00F25C47" w:rsidRPr="00A462F0" w:rsidRDefault="00F25C47" w:rsidP="00CE6931">
            <w:pPr>
              <w:ind w:right="34"/>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A462F0">
              <w:rPr>
                <w:rFonts w:cs="Calibri"/>
                <w:color w:val="000000"/>
                <w:sz w:val="16"/>
                <w:szCs w:val="16"/>
              </w:rPr>
              <w:t>Koefficient</w:t>
            </w:r>
          </w:p>
        </w:tc>
        <w:tc>
          <w:tcPr>
            <w:tcW w:w="2410" w:type="dxa"/>
            <w:gridSpan w:val="2"/>
            <w:noWrap/>
            <w:hideMark/>
          </w:tcPr>
          <w:p w:rsidR="00F25C47" w:rsidRPr="00A462F0" w:rsidRDefault="00A462F0" w:rsidP="00A462F0">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A462F0">
              <w:rPr>
                <w:rFonts w:cs="Calibri"/>
                <w:color w:val="000000"/>
                <w:sz w:val="16"/>
                <w:szCs w:val="16"/>
              </w:rPr>
              <w:t>Standardavvikelse</w:t>
            </w:r>
          </w:p>
        </w:tc>
      </w:tr>
      <w:tr w:rsidR="00A462F0" w:rsidRPr="00707B97"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tcPr>
          <w:p w:rsidR="00A462F0" w:rsidRPr="00707B97" w:rsidRDefault="00A462F0" w:rsidP="00A462F0">
            <w:pPr>
              <w:rPr>
                <w:rFonts w:cs="Calibri"/>
                <w:b w:val="0"/>
                <w:color w:val="000000"/>
                <w:sz w:val="16"/>
                <w:szCs w:val="16"/>
              </w:rPr>
            </w:pPr>
            <w:r w:rsidRPr="00707B97">
              <w:rPr>
                <w:rFonts w:cs="Calibri"/>
                <w:b w:val="0"/>
                <w:color w:val="000000"/>
                <w:sz w:val="16"/>
                <w:szCs w:val="16"/>
              </w:rPr>
              <w:t>Intercept</w:t>
            </w:r>
          </w:p>
        </w:tc>
        <w:tc>
          <w:tcPr>
            <w:tcW w:w="2306" w:type="dxa"/>
            <w:noWrap/>
          </w:tcPr>
          <w:p w:rsidR="00A462F0" w:rsidRPr="00707B97" w:rsidRDefault="00A462F0" w:rsidP="00CE6931">
            <w:pPr>
              <w:pStyle w:val="Liststycke"/>
              <w:ind w:right="34"/>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07B97">
              <w:rPr>
                <w:rFonts w:cs="Calibri"/>
                <w:color w:val="000000"/>
                <w:sz w:val="16"/>
                <w:szCs w:val="16"/>
              </w:rPr>
              <w:t>499,6</w:t>
            </w:r>
          </w:p>
        </w:tc>
        <w:tc>
          <w:tcPr>
            <w:tcW w:w="2410" w:type="dxa"/>
            <w:gridSpan w:val="2"/>
            <w:noWrap/>
          </w:tcPr>
          <w:p w:rsidR="00A462F0" w:rsidRPr="00707B97" w:rsidRDefault="00A462F0" w:rsidP="00E76121">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07B97">
              <w:rPr>
                <w:rFonts w:cs="Calibri"/>
                <w:color w:val="000000"/>
                <w:sz w:val="16"/>
                <w:szCs w:val="16"/>
              </w:rPr>
              <w:t>3,38</w:t>
            </w:r>
          </w:p>
        </w:tc>
      </w:tr>
      <w:tr w:rsidR="00F25C47" w:rsidRPr="00707B97" w:rsidTr="009324E4">
        <w:trPr>
          <w:trHeight w:val="300"/>
        </w:trPr>
        <w:tc>
          <w:tcPr>
            <w:cnfStyle w:val="001000000000" w:firstRow="0" w:lastRow="0" w:firstColumn="1" w:lastColumn="0" w:oddVBand="0" w:evenVBand="0" w:oddHBand="0" w:evenHBand="0" w:firstRowFirstColumn="0" w:firstRowLastColumn="0" w:lastRowFirstColumn="0" w:lastRowLastColumn="0"/>
            <w:tcW w:w="2480" w:type="dxa"/>
            <w:noWrap/>
          </w:tcPr>
          <w:p w:rsidR="00F25C47" w:rsidRPr="00707B97" w:rsidRDefault="00F25C47" w:rsidP="00A462F0">
            <w:pPr>
              <w:rPr>
                <w:rFonts w:cs="Calibri"/>
                <w:b w:val="0"/>
                <w:color w:val="000000"/>
                <w:sz w:val="16"/>
                <w:szCs w:val="16"/>
              </w:rPr>
            </w:pPr>
            <w:r w:rsidRPr="00707B97">
              <w:rPr>
                <w:rFonts w:cs="Calibri"/>
                <w:b w:val="0"/>
                <w:color w:val="000000"/>
                <w:sz w:val="16"/>
                <w:szCs w:val="16"/>
              </w:rPr>
              <w:t>AR(</w:t>
            </w:r>
            <w:r w:rsidR="00A462F0" w:rsidRPr="00707B97">
              <w:rPr>
                <w:rFonts w:cs="Calibri"/>
                <w:b w:val="0"/>
                <w:color w:val="000000"/>
                <w:sz w:val="16"/>
                <w:szCs w:val="16"/>
              </w:rPr>
              <w:t>4</w:t>
            </w:r>
            <w:r w:rsidRPr="00707B97">
              <w:rPr>
                <w:rFonts w:cs="Calibri"/>
                <w:b w:val="0"/>
                <w:color w:val="000000"/>
                <w:sz w:val="16"/>
                <w:szCs w:val="16"/>
              </w:rPr>
              <w:t>)</w:t>
            </w:r>
          </w:p>
        </w:tc>
        <w:tc>
          <w:tcPr>
            <w:tcW w:w="2306" w:type="dxa"/>
            <w:noWrap/>
          </w:tcPr>
          <w:p w:rsidR="00F25C47" w:rsidRPr="00707B97" w:rsidRDefault="00707B97" w:rsidP="00CE6931">
            <w:pPr>
              <w:pStyle w:val="Liststycke"/>
              <w:ind w:right="34"/>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707B97">
              <w:rPr>
                <w:rFonts w:cs="Calibri"/>
                <w:color w:val="000000"/>
                <w:sz w:val="16"/>
                <w:szCs w:val="16"/>
              </w:rPr>
              <w:t xml:space="preserve">– </w:t>
            </w:r>
            <w:r>
              <w:rPr>
                <w:rFonts w:cs="Calibri"/>
                <w:color w:val="000000"/>
                <w:sz w:val="16"/>
                <w:szCs w:val="16"/>
              </w:rPr>
              <w:t>0,301</w:t>
            </w:r>
          </w:p>
        </w:tc>
        <w:tc>
          <w:tcPr>
            <w:tcW w:w="2410" w:type="dxa"/>
            <w:gridSpan w:val="2"/>
            <w:noWrap/>
          </w:tcPr>
          <w:p w:rsidR="00F25C47" w:rsidRPr="00707B97" w:rsidRDefault="00A462F0" w:rsidP="00E76121">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707B97">
              <w:rPr>
                <w:rFonts w:cs="Calibri"/>
                <w:color w:val="000000"/>
                <w:sz w:val="16"/>
                <w:szCs w:val="16"/>
              </w:rPr>
              <w:t>0,114</w:t>
            </w:r>
          </w:p>
        </w:tc>
      </w:tr>
      <w:tr w:rsidR="00F25C47" w:rsidRPr="00707B97"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tcPr>
          <w:p w:rsidR="00F25C47" w:rsidRPr="00707B97" w:rsidRDefault="00A462F0" w:rsidP="00E76121">
            <w:pPr>
              <w:rPr>
                <w:rFonts w:cs="Calibri"/>
                <w:b w:val="0"/>
                <w:color w:val="000000"/>
                <w:sz w:val="16"/>
                <w:szCs w:val="16"/>
              </w:rPr>
            </w:pPr>
            <w:r w:rsidRPr="00707B97">
              <w:rPr>
                <w:rFonts w:cs="Calibri"/>
                <w:b w:val="0"/>
                <w:color w:val="000000"/>
                <w:sz w:val="16"/>
                <w:szCs w:val="16"/>
              </w:rPr>
              <w:t>AR(10</w:t>
            </w:r>
            <w:r w:rsidR="00F25C47" w:rsidRPr="00707B97">
              <w:rPr>
                <w:rFonts w:cs="Calibri"/>
                <w:b w:val="0"/>
                <w:color w:val="000000"/>
                <w:sz w:val="16"/>
                <w:szCs w:val="16"/>
              </w:rPr>
              <w:t>)</w:t>
            </w:r>
          </w:p>
        </w:tc>
        <w:tc>
          <w:tcPr>
            <w:tcW w:w="2306" w:type="dxa"/>
            <w:noWrap/>
          </w:tcPr>
          <w:p w:rsidR="00F25C47" w:rsidRPr="00707B97" w:rsidRDefault="00ED0BFE" w:rsidP="00CE6931">
            <w:pPr>
              <w:ind w:right="34"/>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07B97">
              <w:rPr>
                <w:rFonts w:cs="Calibri"/>
                <w:color w:val="000000"/>
                <w:sz w:val="16"/>
                <w:szCs w:val="16"/>
              </w:rPr>
              <w:t>–</w:t>
            </w:r>
            <w:r w:rsidR="00AB36A9" w:rsidRPr="00707B97">
              <w:rPr>
                <w:rFonts w:cs="Calibri"/>
                <w:color w:val="000000"/>
                <w:sz w:val="16"/>
                <w:szCs w:val="16"/>
              </w:rPr>
              <w:t xml:space="preserve"> </w:t>
            </w:r>
            <w:r w:rsidR="00A462F0" w:rsidRPr="00707B97">
              <w:rPr>
                <w:rFonts w:cs="Calibri"/>
                <w:color w:val="000000"/>
                <w:sz w:val="16"/>
                <w:szCs w:val="16"/>
              </w:rPr>
              <w:t>0,575</w:t>
            </w:r>
          </w:p>
        </w:tc>
        <w:tc>
          <w:tcPr>
            <w:tcW w:w="2410" w:type="dxa"/>
            <w:gridSpan w:val="2"/>
            <w:noWrap/>
          </w:tcPr>
          <w:p w:rsidR="00F25C47" w:rsidRPr="00707B97" w:rsidRDefault="00A462F0" w:rsidP="00A462F0">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07B97">
              <w:rPr>
                <w:rFonts w:cs="Calibri"/>
                <w:color w:val="000000"/>
                <w:sz w:val="16"/>
                <w:szCs w:val="16"/>
              </w:rPr>
              <w:t>0,149</w:t>
            </w:r>
          </w:p>
        </w:tc>
      </w:tr>
      <w:tr w:rsidR="00F25C47" w:rsidRPr="00707B97" w:rsidTr="009324E4">
        <w:trPr>
          <w:trHeight w:val="315"/>
        </w:trPr>
        <w:tc>
          <w:tcPr>
            <w:cnfStyle w:val="001000000000" w:firstRow="0" w:lastRow="0" w:firstColumn="1" w:lastColumn="0" w:oddVBand="0" w:evenVBand="0" w:oddHBand="0" w:evenHBand="0" w:firstRowFirstColumn="0" w:firstRowLastColumn="0" w:lastRowFirstColumn="0" w:lastRowLastColumn="0"/>
            <w:tcW w:w="2480" w:type="dxa"/>
            <w:noWrap/>
          </w:tcPr>
          <w:p w:rsidR="00F25C47" w:rsidRPr="00707B97" w:rsidRDefault="00A462F0" w:rsidP="00E76121">
            <w:pPr>
              <w:rPr>
                <w:rFonts w:cs="Calibri"/>
                <w:b w:val="0"/>
                <w:color w:val="000000"/>
                <w:sz w:val="16"/>
                <w:szCs w:val="16"/>
              </w:rPr>
            </w:pPr>
            <w:r w:rsidRPr="00707B97">
              <w:rPr>
                <w:rFonts w:cs="Calibri"/>
                <w:b w:val="0"/>
                <w:color w:val="000000"/>
                <w:sz w:val="16"/>
                <w:szCs w:val="16"/>
              </w:rPr>
              <w:t>AIC = 825,5</w:t>
            </w:r>
          </w:p>
        </w:tc>
        <w:tc>
          <w:tcPr>
            <w:tcW w:w="4149" w:type="dxa"/>
            <w:gridSpan w:val="2"/>
            <w:noWrap/>
          </w:tcPr>
          <w:p w:rsidR="00F25C47" w:rsidRPr="00707B97" w:rsidRDefault="00F25C47" w:rsidP="00E76121">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567" w:type="dxa"/>
            <w:noWrap/>
          </w:tcPr>
          <w:p w:rsidR="00F25C47" w:rsidRPr="00707B97" w:rsidRDefault="00F25C47" w:rsidP="00E76121">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r>
    </w:tbl>
    <w:p w:rsidR="0031594F" w:rsidRDefault="0031594F" w:rsidP="0031594F">
      <w:r w:rsidRPr="00A462F0">
        <w:t xml:space="preserve">Prognoser över </w:t>
      </w:r>
      <w:r w:rsidR="00A462F0" w:rsidRPr="00A462F0">
        <w:rPr>
          <w:i/>
        </w:rPr>
        <w:t>ekobrottsmisstankar med åtalsbeslut</w:t>
      </w:r>
      <w:r w:rsidRPr="00A462F0">
        <w:t xml:space="preserve"> görs med en ARIMA</w:t>
      </w:r>
      <w:r w:rsidR="00ED0BFE">
        <w:t>–</w:t>
      </w:r>
      <w:r w:rsidRPr="00A462F0">
        <w:t xml:space="preserve">modell som </w:t>
      </w:r>
      <w:r w:rsidR="00A462F0" w:rsidRPr="00A462F0">
        <w:t>specificeras</w:t>
      </w:r>
      <w:r w:rsidRPr="00A462F0">
        <w:t xml:space="preserve"> i tabellen nedan.</w:t>
      </w:r>
      <w:r w:rsidR="00A677A8">
        <w:t xml:space="preserve"> Modellen är underlag för prognos på 1 års sikt.</w:t>
      </w:r>
    </w:p>
    <w:p w:rsidR="00461D96" w:rsidRPr="00461D96" w:rsidRDefault="00461D96" w:rsidP="0031594F">
      <w:pPr>
        <w:rPr>
          <w:b/>
        </w:rPr>
      </w:pPr>
      <w:r w:rsidRPr="00461D96">
        <w:rPr>
          <w:rFonts w:cs="Calibri"/>
          <w:b/>
          <w:i/>
          <w:iCs/>
          <w:color w:val="000000"/>
          <w:sz w:val="16"/>
          <w:szCs w:val="16"/>
        </w:rPr>
        <w:t xml:space="preserve">Tabell </w:t>
      </w:r>
      <w:r w:rsidR="00C128AF">
        <w:rPr>
          <w:rFonts w:cs="Calibri"/>
          <w:b/>
          <w:i/>
          <w:iCs/>
          <w:color w:val="000000"/>
          <w:sz w:val="16"/>
          <w:szCs w:val="16"/>
        </w:rPr>
        <w:t>18</w:t>
      </w:r>
      <w:r w:rsidRPr="00461D96">
        <w:rPr>
          <w:rFonts w:cs="Calibri"/>
          <w:b/>
          <w:i/>
          <w:iCs/>
          <w:color w:val="000000"/>
          <w:sz w:val="16"/>
          <w:szCs w:val="16"/>
        </w:rPr>
        <w:t>. Modell över ekobrottsmisstankar med åtalsbeslut (2008m1–2013m12). Logaritmerade värden</w:t>
      </w:r>
    </w:p>
    <w:tbl>
      <w:tblPr>
        <w:tblStyle w:val="Ljuslista-dekorfrg3"/>
        <w:tblW w:w="7196" w:type="dxa"/>
        <w:tblLook w:val="04A0" w:firstRow="1" w:lastRow="0" w:firstColumn="1" w:lastColumn="0" w:noHBand="0" w:noVBand="1"/>
      </w:tblPr>
      <w:tblGrid>
        <w:gridCol w:w="2480"/>
        <w:gridCol w:w="2306"/>
        <w:gridCol w:w="1843"/>
        <w:gridCol w:w="567"/>
      </w:tblGrid>
      <w:tr w:rsidR="00F25C47" w:rsidRPr="00A462F0" w:rsidTr="00932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hideMark/>
          </w:tcPr>
          <w:p w:rsidR="00F25C47" w:rsidRPr="00A462F0" w:rsidRDefault="00F25C47" w:rsidP="00E76121">
            <w:pPr>
              <w:rPr>
                <w:rFonts w:cs="Calibri"/>
                <w:color w:val="000000"/>
                <w:sz w:val="16"/>
                <w:szCs w:val="16"/>
              </w:rPr>
            </w:pPr>
            <w:r w:rsidRPr="00A462F0">
              <w:rPr>
                <w:rFonts w:cs="Calibri"/>
                <w:color w:val="000000"/>
                <w:sz w:val="16"/>
                <w:szCs w:val="16"/>
              </w:rPr>
              <w:t>Parameter</w:t>
            </w:r>
          </w:p>
        </w:tc>
        <w:tc>
          <w:tcPr>
            <w:tcW w:w="2306" w:type="dxa"/>
            <w:noWrap/>
            <w:hideMark/>
          </w:tcPr>
          <w:p w:rsidR="00F25C47" w:rsidRPr="00A462F0" w:rsidRDefault="00F25C47" w:rsidP="00E76121">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A462F0">
              <w:rPr>
                <w:rFonts w:cs="Calibri"/>
                <w:color w:val="000000"/>
                <w:sz w:val="16"/>
                <w:szCs w:val="16"/>
              </w:rPr>
              <w:t>Koefficient</w:t>
            </w:r>
          </w:p>
        </w:tc>
        <w:tc>
          <w:tcPr>
            <w:tcW w:w="2410" w:type="dxa"/>
            <w:gridSpan w:val="2"/>
            <w:noWrap/>
            <w:hideMark/>
          </w:tcPr>
          <w:p w:rsidR="00F25C47" w:rsidRPr="00A462F0" w:rsidRDefault="00053C21" w:rsidP="00053C21">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Standardavvikelse</w:t>
            </w:r>
          </w:p>
        </w:tc>
      </w:tr>
      <w:tr w:rsidR="00A462F0" w:rsidRPr="007F6A4D" w:rsidTr="00932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0" w:type="dxa"/>
            <w:noWrap/>
          </w:tcPr>
          <w:p w:rsidR="00A462F0" w:rsidRPr="007F6A4D" w:rsidRDefault="00A462F0" w:rsidP="00E76121">
            <w:pPr>
              <w:rPr>
                <w:rFonts w:cs="Calibri"/>
                <w:b w:val="0"/>
                <w:color w:val="000000"/>
                <w:sz w:val="16"/>
                <w:szCs w:val="16"/>
              </w:rPr>
            </w:pPr>
            <w:r w:rsidRPr="007F6A4D">
              <w:rPr>
                <w:rFonts w:cs="Calibri"/>
                <w:b w:val="0"/>
                <w:color w:val="000000"/>
                <w:sz w:val="16"/>
                <w:szCs w:val="16"/>
              </w:rPr>
              <w:t>intercept</w:t>
            </w:r>
          </w:p>
        </w:tc>
        <w:tc>
          <w:tcPr>
            <w:tcW w:w="2306" w:type="dxa"/>
            <w:noWrap/>
          </w:tcPr>
          <w:p w:rsidR="00A462F0" w:rsidRPr="007F6A4D" w:rsidRDefault="00A462F0" w:rsidP="00E76121">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6A4D">
              <w:rPr>
                <w:rFonts w:cs="Calibri"/>
                <w:color w:val="000000"/>
                <w:sz w:val="16"/>
                <w:szCs w:val="16"/>
              </w:rPr>
              <w:t>6,511</w:t>
            </w:r>
          </w:p>
        </w:tc>
        <w:tc>
          <w:tcPr>
            <w:tcW w:w="2410" w:type="dxa"/>
            <w:gridSpan w:val="2"/>
            <w:noWrap/>
          </w:tcPr>
          <w:p w:rsidR="00A462F0" w:rsidRPr="007F6A4D" w:rsidRDefault="00A462F0" w:rsidP="00E76121">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6A4D">
              <w:rPr>
                <w:rFonts w:cs="Calibri"/>
                <w:color w:val="000000"/>
                <w:sz w:val="16"/>
                <w:szCs w:val="16"/>
              </w:rPr>
              <w:t>0,053</w:t>
            </w:r>
          </w:p>
        </w:tc>
      </w:tr>
      <w:tr w:rsidR="00F25C47" w:rsidRPr="007F6A4D" w:rsidTr="009324E4">
        <w:trPr>
          <w:trHeight w:val="315"/>
        </w:trPr>
        <w:tc>
          <w:tcPr>
            <w:cnfStyle w:val="001000000000" w:firstRow="0" w:lastRow="0" w:firstColumn="1" w:lastColumn="0" w:oddVBand="0" w:evenVBand="0" w:oddHBand="0" w:evenHBand="0" w:firstRowFirstColumn="0" w:firstRowLastColumn="0" w:lastRowFirstColumn="0" w:lastRowLastColumn="0"/>
            <w:tcW w:w="2480" w:type="dxa"/>
            <w:noWrap/>
          </w:tcPr>
          <w:p w:rsidR="00F25C47" w:rsidRPr="007F6A4D" w:rsidRDefault="00A462F0" w:rsidP="00E76121">
            <w:pPr>
              <w:rPr>
                <w:rFonts w:cs="Calibri"/>
                <w:b w:val="0"/>
                <w:color w:val="000000"/>
                <w:sz w:val="16"/>
                <w:szCs w:val="16"/>
              </w:rPr>
            </w:pPr>
            <w:r w:rsidRPr="007F6A4D">
              <w:rPr>
                <w:rFonts w:cs="Calibri"/>
                <w:b w:val="0"/>
                <w:color w:val="000000"/>
                <w:sz w:val="16"/>
                <w:szCs w:val="16"/>
              </w:rPr>
              <w:t>AIC = 92,3</w:t>
            </w:r>
          </w:p>
        </w:tc>
        <w:tc>
          <w:tcPr>
            <w:tcW w:w="4149" w:type="dxa"/>
            <w:gridSpan w:val="2"/>
            <w:noWrap/>
          </w:tcPr>
          <w:p w:rsidR="00F25C47" w:rsidRPr="007F6A4D" w:rsidRDefault="00F25C47" w:rsidP="00E76121">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567" w:type="dxa"/>
            <w:noWrap/>
          </w:tcPr>
          <w:p w:rsidR="00F25C47" w:rsidRPr="007F6A4D" w:rsidRDefault="00F25C47" w:rsidP="00E76121">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r>
    </w:tbl>
    <w:p w:rsidR="0031594F" w:rsidRDefault="00A677A8" w:rsidP="00A677A8">
      <w:pPr>
        <w:rPr>
          <w:highlight w:val="yellow"/>
        </w:rPr>
      </w:pPr>
      <w:r>
        <w:t xml:space="preserve">I modellen ovan har 3 månadsvärden </w:t>
      </w:r>
      <w:r w:rsidR="00A462F0" w:rsidRPr="00A677A8">
        <w:t>uppjustera</w:t>
      </w:r>
      <w:r>
        <w:t>ts</w:t>
      </w:r>
      <w:r w:rsidR="00A462F0" w:rsidRPr="00A677A8">
        <w:t xml:space="preserve"> </w:t>
      </w:r>
      <w:r w:rsidRPr="00A677A8">
        <w:t>för att de anses vara engångsföreteelser som inte anses återkomma i framtiden. Värdet för maj 2013 har skattats om till 610,</w:t>
      </w:r>
      <w:r w:rsidR="00AB36A9">
        <w:t xml:space="preserve"> </w:t>
      </w:r>
      <w:r w:rsidRPr="00A677A8">
        <w:t>värdet för juni 2013 till 650 och värdet för juli till 400.</w:t>
      </w:r>
      <w:r w:rsidR="0031594F" w:rsidRPr="00FB33C7">
        <w:rPr>
          <w:highlight w:val="yellow"/>
        </w:rPr>
        <w:t xml:space="preserve"> </w:t>
      </w:r>
    </w:p>
    <w:p w:rsidR="0031594F" w:rsidRDefault="00A677A8" w:rsidP="0031594F">
      <w:r w:rsidRPr="00A677A8">
        <w:t xml:space="preserve">Nedanstående modell används för prognoser </w:t>
      </w:r>
      <w:r w:rsidR="00AB36A9">
        <w:t xml:space="preserve">över ekobrottmisstankar med åtalsbeslut </w:t>
      </w:r>
      <w:r w:rsidRPr="00A677A8">
        <w:t>på 2</w:t>
      </w:r>
      <w:r w:rsidR="00AB36A9">
        <w:t>-</w:t>
      </w:r>
      <w:r w:rsidRPr="00A677A8">
        <w:t>4 års sikt.</w:t>
      </w:r>
    </w:p>
    <w:p w:rsidR="00461D96" w:rsidRDefault="00461D96" w:rsidP="0031594F">
      <w:pPr>
        <w:rPr>
          <w:rFonts w:cs="Calibri"/>
          <w:b/>
          <w:i/>
          <w:iCs/>
          <w:color w:val="000000"/>
          <w:sz w:val="16"/>
          <w:szCs w:val="16"/>
        </w:rPr>
      </w:pPr>
      <w:r w:rsidRPr="00461D96">
        <w:rPr>
          <w:rFonts w:cs="Calibri"/>
          <w:b/>
          <w:i/>
          <w:iCs/>
          <w:color w:val="000000"/>
          <w:sz w:val="16"/>
          <w:szCs w:val="16"/>
        </w:rPr>
        <w:t xml:space="preserve">Tabell </w:t>
      </w:r>
      <w:r w:rsidR="00C128AF">
        <w:rPr>
          <w:rFonts w:cs="Calibri"/>
          <w:b/>
          <w:i/>
          <w:iCs/>
          <w:color w:val="000000"/>
          <w:sz w:val="16"/>
          <w:szCs w:val="16"/>
        </w:rPr>
        <w:t>19</w:t>
      </w:r>
      <w:r w:rsidRPr="00461D96">
        <w:rPr>
          <w:rFonts w:cs="Calibri"/>
          <w:b/>
          <w:i/>
          <w:iCs/>
          <w:color w:val="000000"/>
          <w:sz w:val="16"/>
          <w:szCs w:val="16"/>
        </w:rPr>
        <w:t>. Linjär modell över ekobrottsmisstankar med åtalsbeslut (2008m1–2013m12)</w:t>
      </w:r>
    </w:p>
    <w:tbl>
      <w:tblPr>
        <w:tblStyle w:val="Ljuslista-dekorfrg3"/>
        <w:tblW w:w="7196" w:type="dxa"/>
        <w:tblLayout w:type="fixed"/>
        <w:tblLook w:val="04A0" w:firstRow="1" w:lastRow="0" w:firstColumn="1" w:lastColumn="0" w:noHBand="0" w:noVBand="1"/>
      </w:tblPr>
      <w:tblGrid>
        <w:gridCol w:w="3198"/>
        <w:gridCol w:w="3998"/>
      </w:tblGrid>
      <w:tr w:rsidR="00A145AA" w:rsidRPr="00A462F0" w:rsidTr="00A145A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8" w:type="dxa"/>
            <w:noWrap/>
            <w:hideMark/>
          </w:tcPr>
          <w:p w:rsidR="00A145AA" w:rsidRPr="007F6A4D" w:rsidRDefault="00A145AA" w:rsidP="00E739E4">
            <w:pPr>
              <w:rPr>
                <w:rFonts w:cs="Calibri"/>
                <w:color w:val="000000"/>
                <w:sz w:val="16"/>
                <w:szCs w:val="16"/>
              </w:rPr>
            </w:pPr>
            <w:r w:rsidRPr="007F6A4D">
              <w:rPr>
                <w:rFonts w:cs="Calibri"/>
                <w:color w:val="000000"/>
                <w:sz w:val="16"/>
                <w:szCs w:val="16"/>
              </w:rPr>
              <w:t>Parameter</w:t>
            </w:r>
          </w:p>
        </w:tc>
        <w:tc>
          <w:tcPr>
            <w:tcW w:w="3998" w:type="dxa"/>
            <w:noWrap/>
            <w:hideMark/>
          </w:tcPr>
          <w:p w:rsidR="00A145AA" w:rsidRPr="00A462F0" w:rsidRDefault="00A145AA" w:rsidP="00A145AA">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A462F0">
              <w:rPr>
                <w:rFonts w:cs="Calibri"/>
                <w:color w:val="000000"/>
                <w:sz w:val="16"/>
                <w:szCs w:val="16"/>
              </w:rPr>
              <w:t>Koefficient</w:t>
            </w:r>
          </w:p>
        </w:tc>
      </w:tr>
      <w:tr w:rsidR="00A145AA" w:rsidRPr="007F6A4D" w:rsidTr="00A145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8" w:type="dxa"/>
            <w:noWrap/>
          </w:tcPr>
          <w:p w:rsidR="00A145AA" w:rsidRPr="007F6A4D" w:rsidRDefault="00A145AA" w:rsidP="007F6A4D">
            <w:pPr>
              <w:rPr>
                <w:rFonts w:cs="Calibri"/>
                <w:b w:val="0"/>
                <w:color w:val="000000"/>
                <w:sz w:val="16"/>
                <w:szCs w:val="16"/>
              </w:rPr>
            </w:pPr>
            <w:r w:rsidRPr="007F6A4D">
              <w:rPr>
                <w:rFonts w:cs="Calibri"/>
                <w:b w:val="0"/>
                <w:color w:val="000000"/>
                <w:sz w:val="16"/>
                <w:szCs w:val="16"/>
              </w:rPr>
              <w:t>Intercept</w:t>
            </w:r>
          </w:p>
        </w:tc>
        <w:tc>
          <w:tcPr>
            <w:tcW w:w="3998" w:type="dxa"/>
            <w:noWrap/>
          </w:tcPr>
          <w:p w:rsidR="00A145AA" w:rsidRPr="007F6A4D" w:rsidRDefault="00A145AA" w:rsidP="00A145AA">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6A4D">
              <w:rPr>
                <w:rFonts w:cs="Calibri"/>
                <w:color w:val="000000"/>
                <w:sz w:val="16"/>
                <w:szCs w:val="16"/>
              </w:rPr>
              <w:t>685</w:t>
            </w:r>
          </w:p>
        </w:tc>
      </w:tr>
      <w:tr w:rsidR="00A145AA" w:rsidRPr="007F6A4D" w:rsidTr="00A145AA">
        <w:trPr>
          <w:trHeight w:val="315"/>
        </w:trPr>
        <w:tc>
          <w:tcPr>
            <w:cnfStyle w:val="001000000000" w:firstRow="0" w:lastRow="0" w:firstColumn="1" w:lastColumn="0" w:oddVBand="0" w:evenVBand="0" w:oddHBand="0" w:evenHBand="0" w:firstRowFirstColumn="0" w:firstRowLastColumn="0" w:lastRowFirstColumn="0" w:lastRowLastColumn="0"/>
            <w:tcW w:w="3198" w:type="dxa"/>
            <w:noWrap/>
          </w:tcPr>
          <w:p w:rsidR="00A145AA" w:rsidRPr="007F6A4D" w:rsidRDefault="00A145AA" w:rsidP="00E739E4">
            <w:pPr>
              <w:rPr>
                <w:rFonts w:cs="Calibri"/>
                <w:b w:val="0"/>
                <w:color w:val="000000"/>
                <w:sz w:val="16"/>
                <w:szCs w:val="16"/>
              </w:rPr>
            </w:pPr>
            <w:r w:rsidRPr="007F6A4D">
              <w:rPr>
                <w:rFonts w:cs="Calibri"/>
                <w:b w:val="0"/>
                <w:color w:val="000000"/>
                <w:sz w:val="16"/>
                <w:szCs w:val="16"/>
              </w:rPr>
              <w:t>Tid</w:t>
            </w:r>
          </w:p>
        </w:tc>
        <w:tc>
          <w:tcPr>
            <w:tcW w:w="3998" w:type="dxa"/>
            <w:noWrap/>
          </w:tcPr>
          <w:p w:rsidR="00A145AA" w:rsidRPr="007F6A4D" w:rsidRDefault="00A145AA" w:rsidP="00A145AA">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7F6A4D">
              <w:rPr>
                <w:rFonts w:cs="Calibri"/>
                <w:color w:val="000000"/>
                <w:sz w:val="16"/>
                <w:szCs w:val="16"/>
              </w:rPr>
              <w:t>1,825</w:t>
            </w:r>
          </w:p>
        </w:tc>
      </w:tr>
      <w:tr w:rsidR="00A145AA" w:rsidRPr="007F6A4D" w:rsidTr="00A145A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98" w:type="dxa"/>
            <w:noWrap/>
          </w:tcPr>
          <w:p w:rsidR="00A145AA" w:rsidRPr="007F6A4D" w:rsidRDefault="00A145AA" w:rsidP="00E739E4">
            <w:pPr>
              <w:rPr>
                <w:rFonts w:cs="Calibri"/>
                <w:b w:val="0"/>
                <w:color w:val="000000"/>
                <w:sz w:val="16"/>
                <w:szCs w:val="16"/>
              </w:rPr>
            </w:pPr>
            <m:oMath>
              <m:sSup>
                <m:sSupPr>
                  <m:ctrlPr>
                    <w:rPr>
                      <w:rFonts w:ascii="Cambria Math" w:hAnsi="Cambria Math" w:cs="Calibri"/>
                      <w:b w:val="0"/>
                      <w:color w:val="000000"/>
                      <w:sz w:val="16"/>
                      <w:szCs w:val="16"/>
                    </w:rPr>
                  </m:ctrlPr>
                </m:sSupPr>
                <m:e>
                  <m:r>
                    <m:rPr>
                      <m:sty m:val="b"/>
                    </m:rPr>
                    <w:rPr>
                      <w:rFonts w:ascii="Cambria Math" w:hAnsi="Cambria Math" w:cs="Calibri"/>
                      <w:color w:val="000000"/>
                      <w:sz w:val="16"/>
                      <w:szCs w:val="16"/>
                    </w:rPr>
                    <m:t>R</m:t>
                  </m:r>
                </m:e>
                <m:sup>
                  <m:r>
                    <m:rPr>
                      <m:sty m:val="b"/>
                    </m:rPr>
                    <w:rPr>
                      <w:rFonts w:ascii="Cambria Math" w:hAnsi="Cambria Math" w:cs="Calibri"/>
                      <w:color w:val="000000"/>
                      <w:sz w:val="16"/>
                      <w:szCs w:val="16"/>
                    </w:rPr>
                    <m:t>2</m:t>
                  </m:r>
                </m:sup>
              </m:sSup>
              <m:r>
                <m:rPr>
                  <m:sty m:val="b"/>
                </m:rPr>
                <w:rPr>
                  <w:rFonts w:ascii="Cambria Math" w:hAnsi="Cambria Math" w:cs="Calibri"/>
                  <w:color w:val="000000"/>
                  <w:sz w:val="16"/>
                  <w:szCs w:val="16"/>
                </w:rPr>
                <m:t xml:space="preserve"> </m:t>
              </m:r>
            </m:oMath>
            <w:r w:rsidRPr="007F6A4D">
              <w:rPr>
                <w:rFonts w:cs="Calibri"/>
                <w:b w:val="0"/>
                <w:color w:val="000000"/>
                <w:sz w:val="16"/>
                <w:szCs w:val="16"/>
              </w:rPr>
              <w:t>= 0,01</w:t>
            </w:r>
          </w:p>
        </w:tc>
        <w:tc>
          <w:tcPr>
            <w:tcW w:w="3998" w:type="dxa"/>
            <w:noWrap/>
          </w:tcPr>
          <w:p w:rsidR="00A145AA" w:rsidRPr="007F6A4D" w:rsidRDefault="00A145AA" w:rsidP="00A145AA">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p>
        </w:tc>
      </w:tr>
    </w:tbl>
    <w:p w:rsidR="007F6A4D" w:rsidRDefault="007F6A4D" w:rsidP="0031594F">
      <w:pPr>
        <w:rPr>
          <w:b/>
          <w:highlight w:val="yellow"/>
        </w:rPr>
      </w:pPr>
    </w:p>
    <w:p w:rsidR="007F6A4D" w:rsidRPr="00461D96" w:rsidRDefault="007F6A4D" w:rsidP="0031594F">
      <w:pPr>
        <w:rPr>
          <w:b/>
          <w:highlight w:val="yellow"/>
        </w:rPr>
      </w:pPr>
    </w:p>
    <w:p w:rsidR="00707B97" w:rsidRDefault="00707B97" w:rsidP="00352C0A">
      <w:pPr>
        <w:pStyle w:val="Rubrik3"/>
      </w:pPr>
    </w:p>
    <w:p w:rsidR="00707B97" w:rsidRDefault="00707B97" w:rsidP="00352C0A">
      <w:pPr>
        <w:pStyle w:val="Rubrik3"/>
      </w:pPr>
    </w:p>
    <w:p w:rsidR="00707B97" w:rsidRDefault="00707B97" w:rsidP="00707B97"/>
    <w:p w:rsidR="00707B97" w:rsidRDefault="00707B97" w:rsidP="00707B97"/>
    <w:p w:rsidR="00707B97" w:rsidRDefault="00707B97" w:rsidP="00707B97"/>
    <w:p w:rsidR="00707B97" w:rsidRDefault="00707B97" w:rsidP="00707B97"/>
    <w:p w:rsidR="00707B97" w:rsidRDefault="00707B97" w:rsidP="00707B97"/>
    <w:p w:rsidR="00707B97" w:rsidRDefault="00707B97" w:rsidP="00707B97"/>
    <w:p w:rsidR="00707B97" w:rsidRDefault="00707B97" w:rsidP="00707B97">
      <w:r>
        <w:t>De faktiska</w:t>
      </w:r>
      <w:r w:rsidRPr="00A677A8">
        <w:t xml:space="preserve"> värden</w:t>
      </w:r>
      <w:r>
        <w:t>a används i modellen, inga justerade värden</w:t>
      </w:r>
      <w:r w:rsidRPr="00A677A8">
        <w:t xml:space="preserve">. Modellen bygger på </w:t>
      </w:r>
      <w:r>
        <w:t xml:space="preserve">ett </w:t>
      </w:r>
      <w:r w:rsidRPr="00A677A8">
        <w:t>antagande om att det finns</w:t>
      </w:r>
      <w:r>
        <w:t xml:space="preserve"> en</w:t>
      </w:r>
      <w:r w:rsidRPr="00A677A8">
        <w:t xml:space="preserve"> uppåtgående trend om man bortser från 2012 då det fanns organisatoriska problem och 2013 då myndigheten tog över riksansvaret för ekobrotten.</w:t>
      </w:r>
    </w:p>
    <w:p w:rsidR="00352C0A" w:rsidRDefault="00352C0A" w:rsidP="00E2628B">
      <w:pPr>
        <w:pStyle w:val="Rubrik1"/>
      </w:pPr>
      <w:r w:rsidRPr="002559D6">
        <w:t>Domstolsverket</w:t>
      </w:r>
    </w:p>
    <w:p w:rsidR="00267B6D" w:rsidRDefault="00267B6D" w:rsidP="00267B6D">
      <w:r>
        <w:t>Följan</w:t>
      </w:r>
      <w:r w:rsidR="0064651B">
        <w:t xml:space="preserve">de modell används för statistisk prognos över </w:t>
      </w:r>
      <w:r w:rsidR="0064651B" w:rsidRPr="0064651B">
        <w:rPr>
          <w:i/>
        </w:rPr>
        <w:t>inkomna brottmål</w:t>
      </w:r>
      <w:r w:rsidR="0064651B">
        <w:t xml:space="preserve"> på </w:t>
      </w:r>
      <w:r>
        <w:t>kort sikt.</w:t>
      </w:r>
    </w:p>
    <w:p w:rsidR="007F6A4D" w:rsidRPr="007F6A4D" w:rsidRDefault="007F6A4D" w:rsidP="00267B6D">
      <w:pPr>
        <w:rPr>
          <w:b/>
        </w:rPr>
      </w:pPr>
      <w:r w:rsidRPr="007F6A4D">
        <w:rPr>
          <w:rFonts w:cs="Calibri"/>
          <w:b/>
          <w:i/>
          <w:iCs/>
          <w:color w:val="000000"/>
          <w:sz w:val="16"/>
          <w:szCs w:val="16"/>
        </w:rPr>
        <w:t>Tabell 2</w:t>
      </w:r>
      <w:r w:rsidR="00C128AF">
        <w:rPr>
          <w:rFonts w:cs="Calibri"/>
          <w:b/>
          <w:i/>
          <w:iCs/>
          <w:color w:val="000000"/>
          <w:sz w:val="16"/>
          <w:szCs w:val="16"/>
        </w:rPr>
        <w:t>0</w:t>
      </w:r>
      <w:r w:rsidRPr="007F6A4D">
        <w:rPr>
          <w:rFonts w:cs="Calibri"/>
          <w:b/>
          <w:i/>
          <w:iCs/>
          <w:color w:val="000000"/>
          <w:sz w:val="16"/>
          <w:szCs w:val="16"/>
        </w:rPr>
        <w:t>. Modell över Inkomna brottmål (2010m1–2012m12). Logaritmerade värden</w:t>
      </w:r>
    </w:p>
    <w:tbl>
      <w:tblPr>
        <w:tblStyle w:val="Ljuslista-dekorfrg3"/>
        <w:tblW w:w="7196" w:type="dxa"/>
        <w:tblLook w:val="04A0" w:firstRow="1" w:lastRow="0" w:firstColumn="1" w:lastColumn="0" w:noHBand="0" w:noVBand="1"/>
      </w:tblPr>
      <w:tblGrid>
        <w:gridCol w:w="2221"/>
        <w:gridCol w:w="4975"/>
      </w:tblGrid>
      <w:tr w:rsidR="00352C0A" w:rsidRPr="00EA27B5" w:rsidTr="007F6A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352C0A" w:rsidRPr="00EA27B5" w:rsidRDefault="00352C0A" w:rsidP="00E76121">
            <w:pPr>
              <w:rPr>
                <w:rFonts w:cs="Calibri"/>
                <w:color w:val="000000"/>
                <w:sz w:val="16"/>
                <w:szCs w:val="16"/>
              </w:rPr>
            </w:pPr>
            <w:r w:rsidRPr="00EA27B5">
              <w:rPr>
                <w:rFonts w:cs="Calibri"/>
                <w:color w:val="000000"/>
                <w:sz w:val="16"/>
                <w:szCs w:val="16"/>
              </w:rPr>
              <w:t>Parameter</w:t>
            </w:r>
          </w:p>
        </w:tc>
        <w:tc>
          <w:tcPr>
            <w:tcW w:w="4975" w:type="dxa"/>
            <w:noWrap/>
            <w:hideMark/>
          </w:tcPr>
          <w:p w:rsidR="00352C0A" w:rsidRPr="00EA27B5" w:rsidRDefault="00352C0A" w:rsidP="00E76121">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EA27B5">
              <w:rPr>
                <w:rFonts w:cs="Calibri"/>
                <w:color w:val="000000"/>
                <w:sz w:val="16"/>
                <w:szCs w:val="16"/>
              </w:rPr>
              <w:t>Koefficient</w:t>
            </w:r>
          </w:p>
        </w:tc>
      </w:tr>
      <w:tr w:rsidR="00352C0A" w:rsidRPr="007F6A4D" w:rsidTr="007F6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352C0A" w:rsidRPr="007F6A4D" w:rsidRDefault="00352C0A" w:rsidP="00E76121">
            <w:pPr>
              <w:rPr>
                <w:rFonts w:cs="Calibri"/>
                <w:b w:val="0"/>
                <w:color w:val="000000"/>
                <w:sz w:val="16"/>
                <w:szCs w:val="16"/>
              </w:rPr>
            </w:pPr>
            <w:r w:rsidRPr="007F6A4D">
              <w:rPr>
                <w:rFonts w:cs="Calibri"/>
                <w:b w:val="0"/>
                <w:color w:val="000000"/>
                <w:sz w:val="16"/>
                <w:szCs w:val="16"/>
              </w:rPr>
              <w:t>Gamma</w:t>
            </w:r>
          </w:p>
        </w:tc>
        <w:tc>
          <w:tcPr>
            <w:tcW w:w="4975" w:type="dxa"/>
            <w:noWrap/>
            <w:hideMark/>
          </w:tcPr>
          <w:p w:rsidR="00352C0A" w:rsidRPr="007F6A4D" w:rsidRDefault="00352C0A" w:rsidP="00EA27B5">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6A4D">
              <w:rPr>
                <w:rFonts w:cs="Calibri"/>
                <w:color w:val="000000"/>
                <w:sz w:val="16"/>
                <w:szCs w:val="16"/>
              </w:rPr>
              <w:t>0,</w:t>
            </w:r>
            <w:r w:rsidR="00EA27B5" w:rsidRPr="007F6A4D">
              <w:rPr>
                <w:rFonts w:cs="Calibri"/>
                <w:color w:val="000000"/>
                <w:sz w:val="16"/>
                <w:szCs w:val="16"/>
              </w:rPr>
              <w:t>546</w:t>
            </w:r>
          </w:p>
        </w:tc>
      </w:tr>
      <w:tr w:rsidR="00EA27B5" w:rsidRPr="007F6A4D" w:rsidTr="007F6A4D">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A27B5" w:rsidRPr="007F6A4D" w:rsidRDefault="00EA27B5" w:rsidP="00E76121">
            <w:pPr>
              <w:rPr>
                <w:rFonts w:cs="Calibri"/>
                <w:b w:val="0"/>
                <w:color w:val="000000"/>
                <w:sz w:val="16"/>
                <w:szCs w:val="16"/>
              </w:rPr>
            </w:pPr>
            <w:r w:rsidRPr="007F6A4D">
              <w:rPr>
                <w:rFonts w:cs="Calibri"/>
                <w:b w:val="0"/>
                <w:color w:val="000000"/>
                <w:sz w:val="16"/>
                <w:szCs w:val="16"/>
              </w:rPr>
              <w:t>a</w:t>
            </w:r>
          </w:p>
        </w:tc>
        <w:tc>
          <w:tcPr>
            <w:tcW w:w="4975" w:type="dxa"/>
            <w:noWrap/>
          </w:tcPr>
          <w:p w:rsidR="00EA27B5" w:rsidRPr="007F6A4D" w:rsidRDefault="00EA27B5" w:rsidP="00E76121">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7F6A4D">
              <w:rPr>
                <w:rFonts w:cs="Calibri"/>
                <w:color w:val="000000"/>
                <w:sz w:val="16"/>
                <w:szCs w:val="16"/>
              </w:rPr>
              <w:t>8,87</w:t>
            </w:r>
            <w:r w:rsidR="00A145AA">
              <w:rPr>
                <w:rFonts w:cs="Calibri"/>
                <w:color w:val="000000"/>
                <w:sz w:val="16"/>
                <w:szCs w:val="16"/>
              </w:rPr>
              <w:t>0</w:t>
            </w:r>
          </w:p>
        </w:tc>
      </w:tr>
      <w:tr w:rsidR="00352C0A" w:rsidRPr="007F6A4D" w:rsidTr="007F6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352C0A" w:rsidRPr="007F6A4D" w:rsidRDefault="00EA27B5" w:rsidP="00E76121">
            <w:pPr>
              <w:rPr>
                <w:rFonts w:cs="Calibri"/>
                <w:b w:val="0"/>
                <w:color w:val="000000"/>
                <w:sz w:val="16"/>
                <w:szCs w:val="16"/>
              </w:rPr>
            </w:pPr>
            <w:r w:rsidRPr="007F6A4D">
              <w:rPr>
                <w:rFonts w:cs="Calibri"/>
                <w:b w:val="0"/>
                <w:color w:val="000000"/>
                <w:sz w:val="16"/>
                <w:szCs w:val="16"/>
              </w:rPr>
              <w:t>b</w:t>
            </w:r>
          </w:p>
        </w:tc>
        <w:tc>
          <w:tcPr>
            <w:tcW w:w="4975" w:type="dxa"/>
            <w:noWrap/>
          </w:tcPr>
          <w:p w:rsidR="00352C0A" w:rsidRPr="007F6A4D" w:rsidRDefault="00DD75BD" w:rsidP="00A145AA">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6A4D">
              <w:rPr>
                <w:rFonts w:cs="Calibri"/>
                <w:color w:val="000000"/>
                <w:sz w:val="16"/>
                <w:szCs w:val="16"/>
              </w:rPr>
              <w:t>– 0</w:t>
            </w:r>
            <w:r w:rsidR="00EA27B5" w:rsidRPr="007F6A4D">
              <w:rPr>
                <w:rFonts w:cs="Calibri"/>
                <w:color w:val="000000"/>
                <w:sz w:val="16"/>
                <w:szCs w:val="16"/>
              </w:rPr>
              <w:t>,002</w:t>
            </w:r>
          </w:p>
        </w:tc>
      </w:tr>
      <w:tr w:rsidR="00352C0A" w:rsidRPr="007F6A4D" w:rsidTr="007F6A4D">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352C0A" w:rsidRPr="007F6A4D" w:rsidRDefault="00352C0A" w:rsidP="00E76121">
            <w:pPr>
              <w:rPr>
                <w:rFonts w:cs="Calibri"/>
                <w:b w:val="0"/>
                <w:color w:val="000000"/>
                <w:sz w:val="16"/>
                <w:szCs w:val="16"/>
              </w:rPr>
            </w:pPr>
            <w:r w:rsidRPr="007F6A4D">
              <w:rPr>
                <w:rFonts w:cs="Calibri"/>
                <w:b w:val="0"/>
                <w:color w:val="000000"/>
                <w:sz w:val="16"/>
                <w:szCs w:val="16"/>
              </w:rPr>
              <w:t>Additiv säsong, januari</w:t>
            </w:r>
          </w:p>
        </w:tc>
        <w:tc>
          <w:tcPr>
            <w:tcW w:w="4975" w:type="dxa"/>
            <w:noWrap/>
          </w:tcPr>
          <w:p w:rsidR="00352C0A" w:rsidRPr="007F6A4D" w:rsidRDefault="00EA27B5" w:rsidP="00A145AA">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7F6A4D">
              <w:rPr>
                <w:rFonts w:cs="Calibri"/>
                <w:color w:val="000000"/>
                <w:sz w:val="16"/>
                <w:szCs w:val="16"/>
              </w:rPr>
              <w:t>0,0</w:t>
            </w:r>
            <w:r w:rsidR="00A145AA">
              <w:rPr>
                <w:rFonts w:cs="Calibri"/>
                <w:color w:val="000000"/>
                <w:sz w:val="16"/>
                <w:szCs w:val="16"/>
              </w:rPr>
              <w:t>80</w:t>
            </w:r>
          </w:p>
        </w:tc>
      </w:tr>
      <w:tr w:rsidR="00352C0A" w:rsidRPr="007F6A4D" w:rsidTr="007F6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352C0A" w:rsidRPr="007F6A4D" w:rsidRDefault="00352C0A" w:rsidP="00E76121">
            <w:pPr>
              <w:rPr>
                <w:rFonts w:cs="Calibri"/>
                <w:b w:val="0"/>
                <w:color w:val="000000"/>
                <w:sz w:val="16"/>
                <w:szCs w:val="16"/>
              </w:rPr>
            </w:pPr>
            <w:r w:rsidRPr="007F6A4D">
              <w:rPr>
                <w:rFonts w:cs="Calibri"/>
                <w:b w:val="0"/>
                <w:color w:val="000000"/>
                <w:sz w:val="16"/>
                <w:szCs w:val="16"/>
              </w:rPr>
              <w:t>Additiv säsong, februari</w:t>
            </w:r>
          </w:p>
        </w:tc>
        <w:tc>
          <w:tcPr>
            <w:tcW w:w="4975" w:type="dxa"/>
            <w:noWrap/>
          </w:tcPr>
          <w:p w:rsidR="00352C0A" w:rsidRPr="007F6A4D" w:rsidRDefault="00EA27B5" w:rsidP="00A145AA">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6A4D">
              <w:rPr>
                <w:rFonts w:cs="Calibri"/>
                <w:color w:val="000000"/>
                <w:sz w:val="16"/>
                <w:szCs w:val="16"/>
              </w:rPr>
              <w:t>0,01</w:t>
            </w:r>
            <w:r w:rsidR="00A145AA">
              <w:rPr>
                <w:rFonts w:cs="Calibri"/>
                <w:color w:val="000000"/>
                <w:sz w:val="16"/>
                <w:szCs w:val="16"/>
              </w:rPr>
              <w:t>3</w:t>
            </w:r>
          </w:p>
        </w:tc>
      </w:tr>
      <w:tr w:rsidR="00352C0A" w:rsidRPr="007F6A4D" w:rsidTr="007F6A4D">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352C0A" w:rsidRPr="007F6A4D" w:rsidRDefault="00352C0A" w:rsidP="00E76121">
            <w:pPr>
              <w:rPr>
                <w:rFonts w:cs="Calibri"/>
                <w:b w:val="0"/>
                <w:color w:val="000000"/>
                <w:sz w:val="16"/>
                <w:szCs w:val="16"/>
              </w:rPr>
            </w:pPr>
            <w:r w:rsidRPr="007F6A4D">
              <w:rPr>
                <w:rFonts w:cs="Calibri"/>
                <w:b w:val="0"/>
                <w:color w:val="000000"/>
                <w:sz w:val="16"/>
                <w:szCs w:val="16"/>
              </w:rPr>
              <w:t>Additiv säsong, mars</w:t>
            </w:r>
          </w:p>
        </w:tc>
        <w:tc>
          <w:tcPr>
            <w:tcW w:w="4975" w:type="dxa"/>
            <w:noWrap/>
          </w:tcPr>
          <w:p w:rsidR="00352C0A" w:rsidRPr="007F6A4D" w:rsidRDefault="00A145AA" w:rsidP="00E76121">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0,049</w:t>
            </w:r>
          </w:p>
        </w:tc>
      </w:tr>
      <w:tr w:rsidR="00352C0A" w:rsidRPr="007F6A4D" w:rsidTr="007F6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352C0A" w:rsidRPr="007F6A4D" w:rsidRDefault="00352C0A" w:rsidP="00E76121">
            <w:pPr>
              <w:rPr>
                <w:rFonts w:cs="Calibri"/>
                <w:b w:val="0"/>
                <w:color w:val="000000"/>
                <w:sz w:val="16"/>
                <w:szCs w:val="16"/>
              </w:rPr>
            </w:pPr>
            <w:r w:rsidRPr="007F6A4D">
              <w:rPr>
                <w:rFonts w:cs="Calibri"/>
                <w:b w:val="0"/>
                <w:color w:val="000000"/>
                <w:sz w:val="16"/>
                <w:szCs w:val="16"/>
              </w:rPr>
              <w:t>Additiv säsong, april</w:t>
            </w:r>
          </w:p>
        </w:tc>
        <w:tc>
          <w:tcPr>
            <w:tcW w:w="4975" w:type="dxa"/>
            <w:noWrap/>
          </w:tcPr>
          <w:p w:rsidR="00352C0A" w:rsidRPr="007F6A4D" w:rsidRDefault="00A145AA" w:rsidP="00E76121">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0,004</w:t>
            </w:r>
          </w:p>
        </w:tc>
      </w:tr>
      <w:tr w:rsidR="00352C0A" w:rsidRPr="007F6A4D" w:rsidTr="007F6A4D">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352C0A" w:rsidRPr="007F6A4D" w:rsidRDefault="00352C0A" w:rsidP="00E76121">
            <w:pPr>
              <w:rPr>
                <w:rFonts w:cs="Calibri"/>
                <w:b w:val="0"/>
                <w:color w:val="000000"/>
                <w:sz w:val="16"/>
                <w:szCs w:val="16"/>
              </w:rPr>
            </w:pPr>
            <w:r w:rsidRPr="007F6A4D">
              <w:rPr>
                <w:rFonts w:cs="Calibri"/>
                <w:b w:val="0"/>
                <w:color w:val="000000"/>
                <w:sz w:val="16"/>
                <w:szCs w:val="16"/>
              </w:rPr>
              <w:t>Additiv säsong, maj</w:t>
            </w:r>
          </w:p>
        </w:tc>
        <w:tc>
          <w:tcPr>
            <w:tcW w:w="4975" w:type="dxa"/>
            <w:noWrap/>
          </w:tcPr>
          <w:p w:rsidR="00352C0A" w:rsidRPr="007F6A4D" w:rsidRDefault="00A145AA" w:rsidP="00E76121">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0,074</w:t>
            </w:r>
          </w:p>
        </w:tc>
      </w:tr>
      <w:tr w:rsidR="00352C0A" w:rsidRPr="007F6A4D" w:rsidTr="007F6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352C0A" w:rsidRPr="007F6A4D" w:rsidRDefault="00352C0A" w:rsidP="00E76121">
            <w:pPr>
              <w:rPr>
                <w:rFonts w:cs="Calibri"/>
                <w:b w:val="0"/>
                <w:color w:val="000000"/>
                <w:sz w:val="16"/>
                <w:szCs w:val="16"/>
              </w:rPr>
            </w:pPr>
            <w:r w:rsidRPr="007F6A4D">
              <w:rPr>
                <w:rFonts w:cs="Calibri"/>
                <w:b w:val="0"/>
                <w:color w:val="000000"/>
                <w:sz w:val="16"/>
                <w:szCs w:val="16"/>
              </w:rPr>
              <w:t>Additiv säsong, juni</w:t>
            </w:r>
          </w:p>
        </w:tc>
        <w:tc>
          <w:tcPr>
            <w:tcW w:w="4975" w:type="dxa"/>
            <w:noWrap/>
          </w:tcPr>
          <w:p w:rsidR="00352C0A" w:rsidRPr="007F6A4D" w:rsidRDefault="00DD75BD" w:rsidP="00E76121">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6A4D">
              <w:rPr>
                <w:rFonts w:cs="Calibri"/>
                <w:color w:val="000000"/>
                <w:sz w:val="16"/>
                <w:szCs w:val="16"/>
              </w:rPr>
              <w:t>–</w:t>
            </w:r>
            <w:r>
              <w:rPr>
                <w:rFonts w:cs="Calibri"/>
                <w:color w:val="000000"/>
                <w:sz w:val="16"/>
                <w:szCs w:val="16"/>
              </w:rPr>
              <w:t xml:space="preserve"> 0</w:t>
            </w:r>
            <w:r w:rsidR="00A145AA">
              <w:rPr>
                <w:rFonts w:cs="Calibri"/>
                <w:color w:val="000000"/>
                <w:sz w:val="16"/>
                <w:szCs w:val="16"/>
              </w:rPr>
              <w:t>,052</w:t>
            </w:r>
          </w:p>
        </w:tc>
      </w:tr>
      <w:tr w:rsidR="00352C0A" w:rsidRPr="007F6A4D" w:rsidTr="007F6A4D">
        <w:trPr>
          <w:trHeight w:val="300"/>
        </w:trPr>
        <w:tc>
          <w:tcPr>
            <w:tcW w:w="2221" w:type="dxa"/>
            <w:noWrap/>
          </w:tcPr>
          <w:p w:rsidR="00352C0A" w:rsidRPr="007F6A4D" w:rsidRDefault="00352C0A" w:rsidP="00E76121">
            <w:pPr>
              <w:cnfStyle w:val="001000000000" w:firstRow="0" w:lastRow="0" w:firstColumn="1" w:lastColumn="0" w:oddVBand="0" w:evenVBand="0" w:oddHBand="0" w:evenHBand="0" w:firstRowFirstColumn="0" w:firstRowLastColumn="0" w:lastRowFirstColumn="0" w:lastRowLastColumn="0"/>
              <w:rPr>
                <w:rFonts w:cs="Calibri"/>
                <w:b w:val="0"/>
                <w:color w:val="000000"/>
                <w:sz w:val="16"/>
                <w:szCs w:val="16"/>
              </w:rPr>
            </w:pPr>
            <w:r w:rsidRPr="007F6A4D">
              <w:rPr>
                <w:rFonts w:cs="Calibri"/>
                <w:b w:val="0"/>
                <w:color w:val="000000"/>
                <w:sz w:val="16"/>
                <w:szCs w:val="16"/>
              </w:rPr>
              <w:t>Additiv säsong, juli</w:t>
            </w:r>
          </w:p>
        </w:tc>
        <w:tc>
          <w:tcPr>
            <w:tcW w:w="4975" w:type="dxa"/>
            <w:noWrap/>
          </w:tcPr>
          <w:p w:rsidR="00352C0A" w:rsidRPr="007F6A4D" w:rsidRDefault="00DD75BD" w:rsidP="00EA27B5">
            <w:pPr>
              <w:jc w:val="right"/>
              <w:rPr>
                <w:rFonts w:cs="Calibri"/>
                <w:color w:val="000000"/>
                <w:sz w:val="16"/>
                <w:szCs w:val="16"/>
              </w:rPr>
            </w:pPr>
            <w:r w:rsidRPr="007F6A4D">
              <w:rPr>
                <w:rFonts w:cs="Calibri"/>
                <w:color w:val="000000"/>
                <w:sz w:val="16"/>
                <w:szCs w:val="16"/>
              </w:rPr>
              <w:t>– 0</w:t>
            </w:r>
            <w:r w:rsidR="00EA27B5" w:rsidRPr="007F6A4D">
              <w:rPr>
                <w:rFonts w:cs="Calibri"/>
                <w:color w:val="000000"/>
                <w:sz w:val="16"/>
                <w:szCs w:val="16"/>
              </w:rPr>
              <w:t>,200</w:t>
            </w:r>
          </w:p>
        </w:tc>
      </w:tr>
      <w:tr w:rsidR="00352C0A" w:rsidRPr="007F6A4D" w:rsidTr="007F6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352C0A" w:rsidRPr="007F6A4D" w:rsidRDefault="00352C0A" w:rsidP="00E76121">
            <w:pPr>
              <w:rPr>
                <w:rFonts w:cs="Calibri"/>
                <w:b w:val="0"/>
                <w:color w:val="000000"/>
                <w:sz w:val="16"/>
                <w:szCs w:val="16"/>
              </w:rPr>
            </w:pPr>
            <w:r w:rsidRPr="007F6A4D">
              <w:rPr>
                <w:rFonts w:cs="Calibri"/>
                <w:b w:val="0"/>
                <w:color w:val="000000"/>
                <w:sz w:val="16"/>
                <w:szCs w:val="16"/>
              </w:rPr>
              <w:t>Additiv säsong, augusti</w:t>
            </w:r>
          </w:p>
        </w:tc>
        <w:tc>
          <w:tcPr>
            <w:tcW w:w="4975" w:type="dxa"/>
            <w:noWrap/>
          </w:tcPr>
          <w:p w:rsidR="00352C0A" w:rsidRPr="007F6A4D" w:rsidRDefault="00DD75BD" w:rsidP="00EA27B5">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6A4D">
              <w:rPr>
                <w:rFonts w:cs="Calibri"/>
                <w:color w:val="000000"/>
                <w:sz w:val="16"/>
                <w:szCs w:val="16"/>
              </w:rPr>
              <w:t>– 0</w:t>
            </w:r>
            <w:r w:rsidR="00EA27B5" w:rsidRPr="007F6A4D">
              <w:rPr>
                <w:rFonts w:cs="Calibri"/>
                <w:color w:val="000000"/>
                <w:sz w:val="16"/>
                <w:szCs w:val="16"/>
              </w:rPr>
              <w:t>,135</w:t>
            </w:r>
          </w:p>
        </w:tc>
      </w:tr>
      <w:tr w:rsidR="00352C0A" w:rsidRPr="007F6A4D" w:rsidTr="007F6A4D">
        <w:trPr>
          <w:trHeight w:val="300"/>
        </w:trPr>
        <w:tc>
          <w:tcPr>
            <w:tcW w:w="2221" w:type="dxa"/>
            <w:noWrap/>
          </w:tcPr>
          <w:p w:rsidR="00352C0A" w:rsidRPr="007F6A4D" w:rsidRDefault="00352C0A" w:rsidP="00E76121">
            <w:pPr>
              <w:cnfStyle w:val="001000000000" w:firstRow="0" w:lastRow="0" w:firstColumn="1" w:lastColumn="0" w:oddVBand="0" w:evenVBand="0" w:oddHBand="0" w:evenHBand="0" w:firstRowFirstColumn="0" w:firstRowLastColumn="0" w:lastRowFirstColumn="0" w:lastRowLastColumn="0"/>
              <w:rPr>
                <w:rFonts w:cs="Calibri"/>
                <w:b w:val="0"/>
                <w:color w:val="000000"/>
                <w:sz w:val="16"/>
                <w:szCs w:val="16"/>
              </w:rPr>
            </w:pPr>
            <w:r w:rsidRPr="007F6A4D">
              <w:rPr>
                <w:rFonts w:cs="Calibri"/>
                <w:b w:val="0"/>
                <w:color w:val="000000"/>
                <w:sz w:val="16"/>
                <w:szCs w:val="16"/>
              </w:rPr>
              <w:t>Additiv säsong, september</w:t>
            </w:r>
          </w:p>
        </w:tc>
        <w:tc>
          <w:tcPr>
            <w:tcW w:w="4975" w:type="dxa"/>
            <w:noWrap/>
          </w:tcPr>
          <w:p w:rsidR="00352C0A" w:rsidRPr="007F6A4D" w:rsidRDefault="00DD75BD" w:rsidP="00E76121">
            <w:pPr>
              <w:jc w:val="right"/>
              <w:rPr>
                <w:rFonts w:cs="Calibri"/>
                <w:color w:val="000000"/>
                <w:sz w:val="16"/>
                <w:szCs w:val="16"/>
              </w:rPr>
            </w:pPr>
            <w:r w:rsidRPr="007F6A4D">
              <w:rPr>
                <w:rFonts w:cs="Calibri"/>
                <w:color w:val="000000"/>
                <w:sz w:val="16"/>
                <w:szCs w:val="16"/>
              </w:rPr>
              <w:t>– 0</w:t>
            </w:r>
            <w:r w:rsidR="00EA27B5" w:rsidRPr="007F6A4D">
              <w:rPr>
                <w:rFonts w:cs="Calibri"/>
                <w:color w:val="000000"/>
                <w:sz w:val="16"/>
                <w:szCs w:val="16"/>
              </w:rPr>
              <w:t>,161</w:t>
            </w:r>
          </w:p>
        </w:tc>
      </w:tr>
      <w:tr w:rsidR="00352C0A" w:rsidRPr="007F6A4D" w:rsidTr="007F6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352C0A" w:rsidRPr="007F6A4D" w:rsidRDefault="00352C0A" w:rsidP="00E76121">
            <w:pPr>
              <w:rPr>
                <w:rFonts w:cs="Calibri"/>
                <w:b w:val="0"/>
                <w:color w:val="000000"/>
                <w:sz w:val="16"/>
                <w:szCs w:val="16"/>
              </w:rPr>
            </w:pPr>
            <w:r w:rsidRPr="007F6A4D">
              <w:rPr>
                <w:rFonts w:cs="Calibri"/>
                <w:b w:val="0"/>
                <w:color w:val="000000"/>
                <w:sz w:val="16"/>
                <w:szCs w:val="16"/>
              </w:rPr>
              <w:t>Additiv säsong, oktober</w:t>
            </w:r>
          </w:p>
        </w:tc>
        <w:tc>
          <w:tcPr>
            <w:tcW w:w="4975" w:type="dxa"/>
            <w:noWrap/>
          </w:tcPr>
          <w:p w:rsidR="00352C0A" w:rsidRPr="007F6A4D" w:rsidRDefault="00EA27B5" w:rsidP="00E76121">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6A4D">
              <w:rPr>
                <w:rFonts w:cs="Calibri"/>
                <w:color w:val="000000"/>
                <w:sz w:val="16"/>
                <w:szCs w:val="16"/>
              </w:rPr>
              <w:t>0,134</w:t>
            </w:r>
          </w:p>
        </w:tc>
      </w:tr>
      <w:tr w:rsidR="00352C0A" w:rsidRPr="007F6A4D" w:rsidTr="007F6A4D">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352C0A" w:rsidRPr="007F6A4D" w:rsidRDefault="00352C0A" w:rsidP="00E76121">
            <w:pPr>
              <w:rPr>
                <w:rFonts w:cs="Calibri"/>
                <w:b w:val="0"/>
                <w:color w:val="000000"/>
                <w:sz w:val="16"/>
                <w:szCs w:val="16"/>
              </w:rPr>
            </w:pPr>
            <w:r w:rsidRPr="007F6A4D">
              <w:rPr>
                <w:rFonts w:cs="Calibri"/>
                <w:b w:val="0"/>
                <w:color w:val="000000"/>
                <w:sz w:val="16"/>
                <w:szCs w:val="16"/>
              </w:rPr>
              <w:t>Additiv säsong, november</w:t>
            </w:r>
          </w:p>
        </w:tc>
        <w:tc>
          <w:tcPr>
            <w:tcW w:w="4975" w:type="dxa"/>
            <w:noWrap/>
          </w:tcPr>
          <w:p w:rsidR="00352C0A" w:rsidRPr="007F6A4D" w:rsidRDefault="00EA27B5" w:rsidP="00E76121">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7F6A4D">
              <w:rPr>
                <w:rFonts w:cs="Calibri"/>
                <w:color w:val="000000"/>
                <w:sz w:val="16"/>
                <w:szCs w:val="16"/>
              </w:rPr>
              <w:t>0,013</w:t>
            </w:r>
          </w:p>
        </w:tc>
      </w:tr>
      <w:tr w:rsidR="00352C0A" w:rsidRPr="007F6A4D" w:rsidTr="007F6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352C0A" w:rsidRPr="007F6A4D" w:rsidRDefault="00352C0A" w:rsidP="00E76121">
            <w:pPr>
              <w:rPr>
                <w:rFonts w:cs="Calibri"/>
                <w:b w:val="0"/>
                <w:color w:val="000000"/>
                <w:sz w:val="16"/>
                <w:szCs w:val="16"/>
              </w:rPr>
            </w:pPr>
            <w:r w:rsidRPr="007F6A4D">
              <w:rPr>
                <w:rFonts w:cs="Calibri"/>
                <w:b w:val="0"/>
                <w:color w:val="000000"/>
                <w:sz w:val="16"/>
                <w:szCs w:val="16"/>
              </w:rPr>
              <w:t>Additiv säsong, december</w:t>
            </w:r>
          </w:p>
        </w:tc>
        <w:tc>
          <w:tcPr>
            <w:tcW w:w="4975" w:type="dxa"/>
            <w:noWrap/>
          </w:tcPr>
          <w:p w:rsidR="00352C0A" w:rsidRPr="007F6A4D" w:rsidRDefault="00DD75BD" w:rsidP="00E76121">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7F6A4D">
              <w:rPr>
                <w:rFonts w:cs="Calibri"/>
                <w:color w:val="000000"/>
                <w:sz w:val="16"/>
                <w:szCs w:val="16"/>
              </w:rPr>
              <w:t>– 0</w:t>
            </w:r>
            <w:r w:rsidR="00EA27B5" w:rsidRPr="007F6A4D">
              <w:rPr>
                <w:rFonts w:cs="Calibri"/>
                <w:color w:val="000000"/>
                <w:sz w:val="16"/>
                <w:szCs w:val="16"/>
              </w:rPr>
              <w:t>,071</w:t>
            </w:r>
          </w:p>
        </w:tc>
      </w:tr>
    </w:tbl>
    <w:p w:rsidR="00352C0A" w:rsidRDefault="00352C0A" w:rsidP="00352C0A">
      <w:r w:rsidRPr="00EA27B5">
        <w:t>Ovanstående modell är en mod</w:t>
      </w:r>
      <w:r w:rsidR="00EA27B5" w:rsidRPr="00EA27B5">
        <w:t xml:space="preserve">ell med exponentiell utjämning (Holt Winters modell med additiv säsong). </w:t>
      </w:r>
      <w:r w:rsidR="00EA27B5">
        <w:t xml:space="preserve">Eftersom det </w:t>
      </w:r>
      <w:r w:rsidR="00EA27B5" w:rsidRPr="00EA27B5">
        <w:t xml:space="preserve">skedde ett tidsseriebrott </w:t>
      </w:r>
      <w:r w:rsidR="00EA27B5">
        <w:t>j</w:t>
      </w:r>
      <w:r w:rsidR="00EA27B5" w:rsidRPr="00EA27B5">
        <w:t xml:space="preserve">anuari 2010 har </w:t>
      </w:r>
      <w:r w:rsidR="007A4925">
        <w:t>modellen baserats få månadsdata från och med januari 2010.  O</w:t>
      </w:r>
      <w:r w:rsidR="00EA27B5" w:rsidRPr="00EA27B5">
        <w:t>ut</w:t>
      </w:r>
      <w:r w:rsidR="00AB36A9">
        <w:t>-</w:t>
      </w:r>
      <w:r w:rsidR="00EA27B5" w:rsidRPr="00EA27B5">
        <w:t>of</w:t>
      </w:r>
      <w:r w:rsidR="00AB36A9">
        <w:t>-</w:t>
      </w:r>
      <w:r w:rsidR="00EA27B5" w:rsidRPr="00EA27B5">
        <w:t>sample test antyd</w:t>
      </w:r>
      <w:r w:rsidR="007A4925">
        <w:t>er</w:t>
      </w:r>
      <w:r w:rsidR="00EA27B5" w:rsidRPr="00EA27B5">
        <w:t xml:space="preserve"> </w:t>
      </w:r>
      <w:r w:rsidR="007A4925">
        <w:t xml:space="preserve">också </w:t>
      </w:r>
      <w:r w:rsidR="00EA27B5" w:rsidRPr="00EA27B5">
        <w:t xml:space="preserve">att en kortare </w:t>
      </w:r>
      <w:r w:rsidR="007A4925">
        <w:t>tidsserie</w:t>
      </w:r>
      <w:r w:rsidR="00EA27B5" w:rsidRPr="00EA27B5">
        <w:t xml:space="preserve"> kan förbättra prognosprecisionen på kort sikt (1 år).</w:t>
      </w:r>
    </w:p>
    <w:p w:rsidR="007A4925" w:rsidRDefault="007A4925" w:rsidP="00352C0A">
      <w:r>
        <w:t>För prognoser på lång sikt (2</w:t>
      </w:r>
      <w:r w:rsidR="00AB36A9">
        <w:t>-</w:t>
      </w:r>
      <w:r>
        <w:t xml:space="preserve">4 år) </w:t>
      </w:r>
      <w:r w:rsidR="008F261B">
        <w:t>har n</w:t>
      </w:r>
      <w:r>
        <w:t>edstående modell</w:t>
      </w:r>
      <w:r w:rsidR="008F261B">
        <w:t xml:space="preserve"> använts</w:t>
      </w:r>
      <w:r>
        <w:t>.</w:t>
      </w:r>
    </w:p>
    <w:p w:rsidR="007F6A4D" w:rsidRPr="007F6A4D" w:rsidRDefault="007F6A4D" w:rsidP="00352C0A">
      <w:pPr>
        <w:rPr>
          <w:b/>
        </w:rPr>
      </w:pPr>
      <w:r w:rsidRPr="007F6A4D">
        <w:rPr>
          <w:rFonts w:cs="Calibri"/>
          <w:b/>
          <w:i/>
          <w:iCs/>
          <w:color w:val="000000"/>
          <w:sz w:val="16"/>
          <w:szCs w:val="16"/>
        </w:rPr>
        <w:t>Tabell 2</w:t>
      </w:r>
      <w:r w:rsidR="00C128AF">
        <w:rPr>
          <w:rFonts w:cs="Calibri"/>
          <w:b/>
          <w:i/>
          <w:iCs/>
          <w:color w:val="000000"/>
          <w:sz w:val="16"/>
          <w:szCs w:val="16"/>
        </w:rPr>
        <w:t>1</w:t>
      </w:r>
      <w:r w:rsidRPr="007F6A4D">
        <w:rPr>
          <w:rFonts w:cs="Calibri"/>
          <w:b/>
          <w:i/>
          <w:iCs/>
          <w:color w:val="000000"/>
          <w:sz w:val="16"/>
          <w:szCs w:val="16"/>
        </w:rPr>
        <w:t>. Linjär modell över inkomna brottmål (2010m1–2013m12)</w:t>
      </w:r>
    </w:p>
    <w:tbl>
      <w:tblPr>
        <w:tblStyle w:val="Ljuslista-dekorfrg3"/>
        <w:tblW w:w="6912" w:type="dxa"/>
        <w:tblLook w:val="04A0" w:firstRow="1" w:lastRow="0" w:firstColumn="1" w:lastColumn="0" w:noHBand="0" w:noVBand="1"/>
      </w:tblPr>
      <w:tblGrid>
        <w:gridCol w:w="3553"/>
        <w:gridCol w:w="3359"/>
      </w:tblGrid>
      <w:tr w:rsidR="00A145AA" w:rsidRPr="00FB33C7" w:rsidTr="00A145A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3" w:type="dxa"/>
            <w:noWrap/>
            <w:hideMark/>
          </w:tcPr>
          <w:p w:rsidR="00A145AA" w:rsidRPr="00A677A8" w:rsidRDefault="00A145AA" w:rsidP="00BF7692">
            <w:pPr>
              <w:rPr>
                <w:rFonts w:cs="Calibri"/>
                <w:color w:val="000000"/>
                <w:sz w:val="16"/>
                <w:szCs w:val="16"/>
              </w:rPr>
            </w:pPr>
            <w:r w:rsidRPr="00A677A8">
              <w:rPr>
                <w:rFonts w:cs="Calibri"/>
                <w:color w:val="000000"/>
                <w:sz w:val="16"/>
                <w:szCs w:val="16"/>
              </w:rPr>
              <w:t>Parameter</w:t>
            </w:r>
          </w:p>
        </w:tc>
        <w:tc>
          <w:tcPr>
            <w:tcW w:w="3359" w:type="dxa"/>
            <w:noWrap/>
            <w:hideMark/>
          </w:tcPr>
          <w:p w:rsidR="00A145AA" w:rsidRPr="00A677A8" w:rsidRDefault="00A145AA" w:rsidP="00A145AA">
            <w:pPr>
              <w:ind w:right="33"/>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A677A8">
              <w:rPr>
                <w:rFonts w:cs="Calibri"/>
                <w:color w:val="000000"/>
                <w:sz w:val="16"/>
                <w:szCs w:val="16"/>
              </w:rPr>
              <w:t>Koefficient</w:t>
            </w:r>
          </w:p>
        </w:tc>
      </w:tr>
      <w:tr w:rsidR="00A145AA" w:rsidRPr="008D00DF" w:rsidTr="00A145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3" w:type="dxa"/>
            <w:noWrap/>
          </w:tcPr>
          <w:p w:rsidR="00A145AA" w:rsidRPr="008D00DF" w:rsidRDefault="00A145AA" w:rsidP="00BF7692">
            <w:pPr>
              <w:rPr>
                <w:rFonts w:cs="Calibri"/>
                <w:b w:val="0"/>
                <w:color w:val="000000"/>
                <w:sz w:val="16"/>
                <w:szCs w:val="16"/>
              </w:rPr>
            </w:pPr>
            <w:r w:rsidRPr="008D00DF">
              <w:rPr>
                <w:rFonts w:cs="Calibri"/>
                <w:b w:val="0"/>
                <w:color w:val="000000"/>
                <w:sz w:val="16"/>
                <w:szCs w:val="16"/>
              </w:rPr>
              <w:t>Intercept</w:t>
            </w:r>
          </w:p>
        </w:tc>
        <w:tc>
          <w:tcPr>
            <w:tcW w:w="3359" w:type="dxa"/>
            <w:noWrap/>
          </w:tcPr>
          <w:p w:rsidR="00A145AA" w:rsidRPr="00A145AA" w:rsidRDefault="00A145AA" w:rsidP="00A145AA">
            <w:pPr>
              <w:ind w:right="33"/>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A145AA">
              <w:rPr>
                <w:rFonts w:cs="Calibri"/>
                <w:color w:val="000000"/>
                <w:sz w:val="16"/>
                <w:szCs w:val="16"/>
              </w:rPr>
              <w:t>7 888</w:t>
            </w:r>
          </w:p>
        </w:tc>
      </w:tr>
      <w:tr w:rsidR="00A145AA" w:rsidRPr="008D00DF" w:rsidTr="00A145AA">
        <w:trPr>
          <w:trHeight w:val="70"/>
        </w:trPr>
        <w:tc>
          <w:tcPr>
            <w:cnfStyle w:val="001000000000" w:firstRow="0" w:lastRow="0" w:firstColumn="1" w:lastColumn="0" w:oddVBand="0" w:evenVBand="0" w:oddHBand="0" w:evenHBand="0" w:firstRowFirstColumn="0" w:firstRowLastColumn="0" w:lastRowFirstColumn="0" w:lastRowLastColumn="0"/>
            <w:tcW w:w="3553" w:type="dxa"/>
            <w:noWrap/>
          </w:tcPr>
          <w:p w:rsidR="00A145AA" w:rsidRPr="008D00DF" w:rsidRDefault="00A145AA" w:rsidP="00BF7692">
            <w:pPr>
              <w:rPr>
                <w:rFonts w:cs="Calibri"/>
                <w:b w:val="0"/>
                <w:color w:val="000000"/>
                <w:sz w:val="16"/>
                <w:szCs w:val="16"/>
              </w:rPr>
            </w:pPr>
            <w:r w:rsidRPr="008D00DF">
              <w:rPr>
                <w:rFonts w:cs="Calibri"/>
                <w:b w:val="0"/>
                <w:color w:val="000000"/>
                <w:sz w:val="16"/>
                <w:szCs w:val="16"/>
              </w:rPr>
              <w:t>Tid</w:t>
            </w:r>
          </w:p>
        </w:tc>
        <w:tc>
          <w:tcPr>
            <w:tcW w:w="3359" w:type="dxa"/>
            <w:noWrap/>
          </w:tcPr>
          <w:p w:rsidR="00A145AA" w:rsidRPr="00A145AA" w:rsidRDefault="00A145AA" w:rsidP="00A145AA">
            <w:pPr>
              <w:ind w:right="33"/>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A145AA">
              <w:rPr>
                <w:rFonts w:cs="Calibri"/>
                <w:color w:val="000000"/>
                <w:sz w:val="16"/>
                <w:szCs w:val="16"/>
              </w:rPr>
              <w:t>– 16,95</w:t>
            </w:r>
          </w:p>
        </w:tc>
      </w:tr>
    </w:tbl>
    <w:p w:rsidR="007F6A4D" w:rsidRDefault="007F6A4D" w:rsidP="00352C0A"/>
    <w:p w:rsidR="007A4925" w:rsidRDefault="007A4925" w:rsidP="00352C0A">
      <w:r w:rsidRPr="007A4925">
        <w:t>Även prognosen på lång sikt använder 2010 som startår och utgår från månadsdata.</w:t>
      </w:r>
    </w:p>
    <w:p w:rsidR="00267B6D" w:rsidRDefault="00267B6D" w:rsidP="00352C0A">
      <w:r>
        <w:t>Ingen av de statistiska modellerna används till slutgiltig prognos, utan de är justerade för relationen till tidigare led.</w:t>
      </w:r>
    </w:p>
    <w:p w:rsidR="007F6A4D" w:rsidRDefault="00267B6D" w:rsidP="007F6A4D">
      <w:r w:rsidRPr="00267B6D">
        <w:rPr>
          <w:i/>
        </w:rPr>
        <w:lastRenderedPageBreak/>
        <w:t>Avgjorda brottmål</w:t>
      </w:r>
      <w:r>
        <w:t xml:space="preserve"> har ingen separat statistisk modell gjort utan man har satt en slutlig prognos utifrån att det historiskt sett har varit en 1:1 situation mellan inkomna och avgjorda brottmål</w:t>
      </w:r>
      <w:r w:rsidR="0064651B">
        <w:t xml:space="preserve"> samt att den framtida optimala balansen blir rimlig.</w:t>
      </w:r>
    </w:p>
    <w:p w:rsidR="00E739E4" w:rsidRPr="002559D6" w:rsidRDefault="00E739E4" w:rsidP="00E2628B">
      <w:pPr>
        <w:pStyle w:val="Rubrik1"/>
      </w:pPr>
      <w:r w:rsidRPr="002559D6">
        <w:t xml:space="preserve">Kriminalvården </w:t>
      </w:r>
    </w:p>
    <w:p w:rsidR="00E739E4" w:rsidRDefault="00E739E4" w:rsidP="00E739E4">
      <w:r w:rsidRPr="002559D6">
        <w:t xml:space="preserve">Under </w:t>
      </w:r>
      <w:r>
        <w:t xml:space="preserve">2011 började Kriminalvården utgå ifrån månadsdata från 1996 och framåt för att anpassa olika tidsseriemodeller. </w:t>
      </w:r>
      <w:r w:rsidRPr="008B45A7">
        <w:t>För de statistiska framskrivningarna har Kriminalvården förutom sedvanliga regressionsmodeller använt olika ARIMA-modeller</w:t>
      </w:r>
      <w:r>
        <w:t xml:space="preserve"> </w:t>
      </w:r>
      <w:r w:rsidRPr="008B45A7">
        <w:t>och även kombinerat dessa metoder. Generellt sett gäller att ARIMA-modeller är bra när det handlar om att göra kortsiktiga prognoser (upp till ca två år) på stabila tidsserier. Efter att ha testat olika modeller och olika kombinationer av framskrivningar har Kriminalvården valt att använda en ARIMA-modell på 1-2 års sikt i kombination med en regression</w:t>
      </w:r>
      <w:r>
        <w:t>smodell</w:t>
      </w:r>
      <w:r w:rsidRPr="008B45A7">
        <w:t xml:space="preserve"> på 3-4 års sikt för fängelsedömda.</w:t>
      </w:r>
    </w:p>
    <w:p w:rsidR="00E739E4" w:rsidRDefault="00E739E4" w:rsidP="00E739E4">
      <w:r w:rsidRPr="002559D6">
        <w:t xml:space="preserve">För att jämföra olika modeller har </w:t>
      </w:r>
      <w:r>
        <w:t xml:space="preserve">förutom relevanta plottar också </w:t>
      </w:r>
      <w:r w:rsidRPr="002559D6">
        <w:t>mått</w:t>
      </w:r>
      <w:r>
        <w:t xml:space="preserve"> som bland annat</w:t>
      </w:r>
      <w:r w:rsidRPr="002559D6">
        <w:t xml:space="preserve"> MAPE</w:t>
      </w:r>
      <w:r>
        <w:t xml:space="preserve"> samt AIC</w:t>
      </w:r>
      <w:r w:rsidRPr="002559D6">
        <w:t xml:space="preserve"> använts.</w:t>
      </w:r>
      <w:r>
        <w:t xml:space="preserve"> </w:t>
      </w:r>
    </w:p>
    <w:p w:rsidR="00E739E4" w:rsidRDefault="00E739E4" w:rsidP="00E739E4">
      <w:pPr>
        <w:pStyle w:val="Rubrik4"/>
      </w:pPr>
      <w:r w:rsidRPr="002559D6">
        <w:t xml:space="preserve">Prognosmodeller över </w:t>
      </w:r>
      <w:r>
        <w:t>inflödet till Kriminalvården</w:t>
      </w:r>
    </w:p>
    <w:p w:rsidR="00E739E4" w:rsidRDefault="00E739E4" w:rsidP="00E739E4">
      <w:r>
        <w:t>Prognosmodellerna är gjorda för de grupper som räknas till Kriminalvårdens inflöde. IÖV har anpassats efter antalet nyintagna i anstalt och antar 20 procent av de prognostiserade värdena för 2014-2017.</w:t>
      </w:r>
    </w:p>
    <w:p w:rsidR="00E739E4" w:rsidRDefault="00E739E4" w:rsidP="00E739E4">
      <w:pPr>
        <w:pStyle w:val="Liststycke"/>
        <w:numPr>
          <w:ilvl w:val="0"/>
          <w:numId w:val="47"/>
        </w:numPr>
      </w:pPr>
      <w:r>
        <w:t>Nyintagna</w:t>
      </w:r>
    </w:p>
    <w:p w:rsidR="00E739E4" w:rsidRPr="003635FE" w:rsidRDefault="00E739E4" w:rsidP="00E739E4">
      <w:pPr>
        <w:pStyle w:val="Liststycke"/>
        <w:numPr>
          <w:ilvl w:val="0"/>
          <w:numId w:val="47"/>
        </w:numPr>
      </w:pPr>
      <w:r w:rsidRPr="003635FE">
        <w:t>Påbörjad intensivövervakning med elektronisk kontroll</w:t>
      </w:r>
    </w:p>
    <w:p w:rsidR="00E739E4" w:rsidRDefault="00E739E4" w:rsidP="00E739E4">
      <w:pPr>
        <w:pStyle w:val="Liststycke"/>
        <w:numPr>
          <w:ilvl w:val="0"/>
          <w:numId w:val="47"/>
        </w:numPr>
      </w:pPr>
      <w:r>
        <w:t>Påbörjad skyddstillsyn</w:t>
      </w:r>
    </w:p>
    <w:p w:rsidR="00E739E4" w:rsidRDefault="00E739E4" w:rsidP="00E739E4">
      <w:pPr>
        <w:pStyle w:val="Liststycke"/>
        <w:numPr>
          <w:ilvl w:val="0"/>
          <w:numId w:val="47"/>
        </w:numPr>
      </w:pPr>
      <w:r>
        <w:t>Påbörjad villkorlig dom med samhällstjänst</w:t>
      </w:r>
    </w:p>
    <w:p w:rsidR="00E739E4" w:rsidRPr="00E739E4" w:rsidRDefault="00E739E4" w:rsidP="00E739E4">
      <w:pPr>
        <w:rPr>
          <w:rFonts w:cs="Calibri"/>
          <w:b/>
          <w:i/>
          <w:iCs/>
          <w:color w:val="000000"/>
          <w:sz w:val="16"/>
          <w:szCs w:val="16"/>
        </w:rPr>
      </w:pPr>
      <w:r w:rsidRPr="00E739E4">
        <w:rPr>
          <w:rFonts w:cs="Calibri"/>
          <w:b/>
          <w:i/>
          <w:iCs/>
          <w:color w:val="000000"/>
          <w:sz w:val="16"/>
          <w:szCs w:val="16"/>
        </w:rPr>
        <w:t xml:space="preserve">Tabell </w:t>
      </w:r>
      <w:r>
        <w:rPr>
          <w:rFonts w:cs="Calibri"/>
          <w:b/>
          <w:i/>
          <w:iCs/>
          <w:color w:val="000000"/>
          <w:sz w:val="16"/>
          <w:szCs w:val="16"/>
        </w:rPr>
        <w:t>2</w:t>
      </w:r>
      <w:r w:rsidR="00C128AF">
        <w:rPr>
          <w:rFonts w:cs="Calibri"/>
          <w:b/>
          <w:i/>
          <w:iCs/>
          <w:color w:val="000000"/>
          <w:sz w:val="16"/>
          <w:szCs w:val="16"/>
        </w:rPr>
        <w:t>2</w:t>
      </w:r>
      <w:r w:rsidRPr="00E739E4">
        <w:rPr>
          <w:rFonts w:cs="Calibri"/>
          <w:b/>
          <w:i/>
          <w:iCs/>
          <w:color w:val="000000"/>
          <w:sz w:val="16"/>
          <w:szCs w:val="16"/>
        </w:rPr>
        <w:t>. Modell för nyintagna (2004–2013).</w:t>
      </w:r>
    </w:p>
    <w:tbl>
      <w:tblPr>
        <w:tblStyle w:val="Ljuslista-dekorfrg3"/>
        <w:tblW w:w="6912" w:type="dxa"/>
        <w:tblLook w:val="04A0" w:firstRow="1" w:lastRow="0" w:firstColumn="1" w:lastColumn="0" w:noHBand="0" w:noVBand="1"/>
      </w:tblPr>
      <w:tblGrid>
        <w:gridCol w:w="2221"/>
        <w:gridCol w:w="2423"/>
        <w:gridCol w:w="2268"/>
      </w:tblGrid>
      <w:tr w:rsidR="00080BE6" w:rsidRPr="00933E8E" w:rsidTr="00080BE6">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933E8E" w:rsidRDefault="00E739E4" w:rsidP="00E739E4">
            <w:pPr>
              <w:rPr>
                <w:color w:val="auto"/>
                <w:sz w:val="16"/>
                <w:szCs w:val="16"/>
              </w:rPr>
            </w:pPr>
            <w:r w:rsidRPr="00933E8E">
              <w:rPr>
                <w:color w:val="auto"/>
                <w:sz w:val="16"/>
                <w:szCs w:val="16"/>
              </w:rPr>
              <w:t>Parameter</w:t>
            </w:r>
          </w:p>
        </w:tc>
        <w:tc>
          <w:tcPr>
            <w:tcW w:w="2423" w:type="dxa"/>
            <w:noWrap/>
            <w:hideMark/>
          </w:tcPr>
          <w:p w:rsidR="00E739E4" w:rsidRPr="00933E8E" w:rsidRDefault="00E739E4" w:rsidP="00080BE6">
            <w:pPr>
              <w:ind w:left="1040" w:right="-43"/>
              <w:jc w:val="right"/>
              <w:cnfStyle w:val="100000000000" w:firstRow="1" w:lastRow="0" w:firstColumn="0" w:lastColumn="0" w:oddVBand="0" w:evenVBand="0" w:oddHBand="0" w:evenHBand="0" w:firstRowFirstColumn="0" w:firstRowLastColumn="0" w:lastRowFirstColumn="0" w:lastRowLastColumn="0"/>
              <w:rPr>
                <w:color w:val="auto"/>
                <w:sz w:val="16"/>
                <w:szCs w:val="16"/>
              </w:rPr>
            </w:pPr>
            <w:r w:rsidRPr="00933E8E">
              <w:rPr>
                <w:color w:val="auto"/>
                <w:sz w:val="16"/>
                <w:szCs w:val="16"/>
              </w:rPr>
              <w:t>Koefficient</w:t>
            </w:r>
          </w:p>
        </w:tc>
        <w:tc>
          <w:tcPr>
            <w:tcW w:w="2268" w:type="dxa"/>
            <w:noWrap/>
            <w:hideMark/>
          </w:tcPr>
          <w:p w:rsidR="00E739E4" w:rsidRPr="00933E8E" w:rsidRDefault="00E739E4" w:rsidP="00E739E4">
            <w:pPr>
              <w:ind w:left="-154"/>
              <w:jc w:val="right"/>
              <w:cnfStyle w:val="100000000000" w:firstRow="1" w:lastRow="0" w:firstColumn="0" w:lastColumn="0" w:oddVBand="0" w:evenVBand="0" w:oddHBand="0" w:evenHBand="0" w:firstRowFirstColumn="0" w:firstRowLastColumn="0" w:lastRowFirstColumn="0" w:lastRowLastColumn="0"/>
              <w:rPr>
                <w:color w:val="auto"/>
                <w:sz w:val="16"/>
                <w:szCs w:val="16"/>
              </w:rPr>
            </w:pPr>
            <w:r w:rsidRPr="00933E8E">
              <w:rPr>
                <w:color w:val="auto"/>
                <w:sz w:val="16"/>
                <w:szCs w:val="16"/>
              </w:rPr>
              <w:t>p-värde</w:t>
            </w:r>
          </w:p>
        </w:tc>
      </w:tr>
      <w:tr w:rsidR="00E739E4" w:rsidRPr="00E739E4" w:rsidTr="00080B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E739E4" w:rsidRDefault="00E739E4" w:rsidP="00E739E4">
            <w:pPr>
              <w:rPr>
                <w:b w:val="0"/>
                <w:sz w:val="16"/>
                <w:szCs w:val="16"/>
              </w:rPr>
            </w:pPr>
            <w:r w:rsidRPr="00E739E4">
              <w:rPr>
                <w:b w:val="0"/>
                <w:sz w:val="16"/>
                <w:szCs w:val="16"/>
              </w:rPr>
              <w:t>Intercept</w:t>
            </w:r>
          </w:p>
        </w:tc>
        <w:tc>
          <w:tcPr>
            <w:tcW w:w="2423" w:type="dxa"/>
            <w:noWrap/>
          </w:tcPr>
          <w:p w:rsidR="00E739E4" w:rsidRPr="00E739E4" w:rsidRDefault="00E739E4" w:rsidP="00080BE6">
            <w:pPr>
              <w:ind w:left="1040" w:right="-43"/>
              <w:jc w:val="right"/>
              <w:cnfStyle w:val="000000100000" w:firstRow="0" w:lastRow="0" w:firstColumn="0" w:lastColumn="0" w:oddVBand="0" w:evenVBand="0" w:oddHBand="1" w:evenHBand="0" w:firstRowFirstColumn="0" w:firstRowLastColumn="0" w:lastRowFirstColumn="0" w:lastRowLastColumn="0"/>
              <w:rPr>
                <w:sz w:val="16"/>
                <w:szCs w:val="16"/>
              </w:rPr>
            </w:pPr>
            <w:r w:rsidRPr="00E739E4">
              <w:rPr>
                <w:sz w:val="16"/>
                <w:szCs w:val="16"/>
              </w:rPr>
              <w:t>11 183</w:t>
            </w:r>
          </w:p>
        </w:tc>
        <w:tc>
          <w:tcPr>
            <w:tcW w:w="2268" w:type="dxa"/>
            <w:noWrap/>
          </w:tcPr>
          <w:p w:rsidR="00E739E4" w:rsidRPr="00E739E4" w:rsidRDefault="00E739E4" w:rsidP="00E739E4">
            <w:pPr>
              <w:ind w:left="-154"/>
              <w:jc w:val="right"/>
              <w:cnfStyle w:val="000000100000" w:firstRow="0" w:lastRow="0" w:firstColumn="0" w:lastColumn="0" w:oddVBand="0" w:evenVBand="0" w:oddHBand="1" w:evenHBand="0" w:firstRowFirstColumn="0" w:firstRowLastColumn="0" w:lastRowFirstColumn="0" w:lastRowLastColumn="0"/>
              <w:rPr>
                <w:sz w:val="16"/>
                <w:szCs w:val="16"/>
              </w:rPr>
            </w:pPr>
            <w:r w:rsidRPr="00E739E4">
              <w:rPr>
                <w:sz w:val="16"/>
                <w:szCs w:val="16"/>
              </w:rPr>
              <w:t>&lt;</w:t>
            </w:r>
            <w:r>
              <w:rPr>
                <w:sz w:val="16"/>
                <w:szCs w:val="16"/>
              </w:rPr>
              <w:t xml:space="preserve"> </w:t>
            </w:r>
            <w:r w:rsidRPr="00E739E4">
              <w:rPr>
                <w:sz w:val="16"/>
                <w:szCs w:val="16"/>
              </w:rPr>
              <w:t>0,001</w:t>
            </w:r>
          </w:p>
        </w:tc>
      </w:tr>
      <w:tr w:rsidR="00E739E4" w:rsidRPr="00E739E4" w:rsidTr="00080BE6">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E739E4" w:rsidRDefault="00E739E4" w:rsidP="00E739E4">
            <w:pPr>
              <w:rPr>
                <w:b w:val="0"/>
                <w:sz w:val="16"/>
                <w:szCs w:val="16"/>
              </w:rPr>
            </w:pPr>
            <w:r w:rsidRPr="00E739E4">
              <w:rPr>
                <w:b w:val="0"/>
                <w:sz w:val="16"/>
                <w:szCs w:val="16"/>
              </w:rPr>
              <w:t>Tid</w:t>
            </w:r>
          </w:p>
        </w:tc>
        <w:tc>
          <w:tcPr>
            <w:tcW w:w="2423" w:type="dxa"/>
            <w:noWrap/>
          </w:tcPr>
          <w:p w:rsidR="00E739E4" w:rsidRPr="00E739E4" w:rsidRDefault="00E739E4" w:rsidP="00080BE6">
            <w:pPr>
              <w:ind w:left="1040" w:right="-43"/>
              <w:jc w:val="right"/>
              <w:cnfStyle w:val="000000000000" w:firstRow="0" w:lastRow="0" w:firstColumn="0" w:lastColumn="0" w:oddVBand="0" w:evenVBand="0" w:oddHBand="0" w:evenHBand="0" w:firstRowFirstColumn="0" w:firstRowLastColumn="0" w:lastRowFirstColumn="0" w:lastRowLastColumn="0"/>
              <w:rPr>
                <w:sz w:val="16"/>
                <w:szCs w:val="16"/>
              </w:rPr>
            </w:pPr>
            <w:r w:rsidRPr="00E739E4">
              <w:rPr>
                <w:sz w:val="16"/>
                <w:szCs w:val="16"/>
              </w:rPr>
              <w:t>– 215,8</w:t>
            </w:r>
          </w:p>
        </w:tc>
        <w:tc>
          <w:tcPr>
            <w:tcW w:w="2268" w:type="dxa"/>
            <w:noWrap/>
          </w:tcPr>
          <w:p w:rsidR="00E739E4" w:rsidRPr="00E739E4" w:rsidRDefault="00E739E4" w:rsidP="00E739E4">
            <w:pPr>
              <w:ind w:left="-154"/>
              <w:jc w:val="right"/>
              <w:cnfStyle w:val="000000000000" w:firstRow="0" w:lastRow="0" w:firstColumn="0" w:lastColumn="0" w:oddVBand="0" w:evenVBand="0" w:oddHBand="0" w:evenHBand="0" w:firstRowFirstColumn="0" w:firstRowLastColumn="0" w:lastRowFirstColumn="0" w:lastRowLastColumn="0"/>
              <w:rPr>
                <w:sz w:val="16"/>
                <w:szCs w:val="16"/>
              </w:rPr>
            </w:pPr>
            <w:r w:rsidRPr="00E739E4">
              <w:rPr>
                <w:sz w:val="16"/>
                <w:szCs w:val="16"/>
              </w:rPr>
              <w:t>&lt;</w:t>
            </w:r>
            <w:r w:rsidR="00080BE6">
              <w:rPr>
                <w:sz w:val="16"/>
                <w:szCs w:val="16"/>
              </w:rPr>
              <w:t xml:space="preserve"> </w:t>
            </w:r>
            <w:r>
              <w:rPr>
                <w:sz w:val="16"/>
                <w:szCs w:val="16"/>
              </w:rPr>
              <w:t>0</w:t>
            </w:r>
            <w:r w:rsidRPr="00E739E4">
              <w:rPr>
                <w:sz w:val="16"/>
                <w:szCs w:val="16"/>
              </w:rPr>
              <w:t>,001</w:t>
            </w:r>
          </w:p>
        </w:tc>
      </w:tr>
      <w:tr w:rsidR="00E739E4" w:rsidRPr="00E739E4" w:rsidTr="00080BE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E739E4" w:rsidRDefault="00E739E4" w:rsidP="00E739E4">
            <w:pPr>
              <w:rPr>
                <w:b w:val="0"/>
                <w:sz w:val="16"/>
                <w:szCs w:val="16"/>
              </w:rPr>
            </w:pPr>
            <w:r w:rsidRPr="00E739E4">
              <w:rPr>
                <w:b w:val="0"/>
                <w:sz w:val="16"/>
                <w:szCs w:val="16"/>
              </w:rPr>
              <w:t> MAPE (månad) = 1,79</w:t>
            </w:r>
          </w:p>
        </w:tc>
        <w:tc>
          <w:tcPr>
            <w:tcW w:w="2423" w:type="dxa"/>
            <w:noWrap/>
            <w:hideMark/>
          </w:tcPr>
          <w:p w:rsidR="00E739E4" w:rsidRPr="00E739E4" w:rsidRDefault="00E739E4" w:rsidP="00080BE6">
            <w:pPr>
              <w:ind w:left="1040" w:right="-43"/>
              <w:jc w:val="right"/>
              <w:cnfStyle w:val="000000100000" w:firstRow="0" w:lastRow="0" w:firstColumn="0" w:lastColumn="0" w:oddVBand="0" w:evenVBand="0" w:oddHBand="1" w:evenHBand="0" w:firstRowFirstColumn="0" w:firstRowLastColumn="0" w:lastRowFirstColumn="0" w:lastRowLastColumn="0"/>
              <w:rPr>
                <w:sz w:val="16"/>
                <w:szCs w:val="16"/>
              </w:rPr>
            </w:pPr>
            <w:r w:rsidRPr="00E739E4">
              <w:rPr>
                <w:sz w:val="16"/>
                <w:szCs w:val="16"/>
              </w:rPr>
              <w:t>  </w:t>
            </w:r>
            <m:oMath>
              <m:sSup>
                <m:sSupPr>
                  <m:ctrlPr>
                    <w:rPr>
                      <w:rFonts w:ascii="Cambria Math" w:hAnsi="Cambria Math"/>
                      <w:sz w:val="16"/>
                      <w:szCs w:val="16"/>
                    </w:rPr>
                  </m:ctrlPr>
                </m:sSupPr>
                <m:e>
                  <m:r>
                    <m:rPr>
                      <m:sty m:val="p"/>
                    </m:rPr>
                    <w:rPr>
                      <w:rFonts w:ascii="Cambria Math" w:hAnsi="Cambria Math"/>
                      <w:sz w:val="16"/>
                      <w:szCs w:val="16"/>
                    </w:rPr>
                    <m:t>R</m:t>
                  </m:r>
                </m:e>
                <m:sup>
                  <m:r>
                    <m:rPr>
                      <m:sty m:val="p"/>
                    </m:rPr>
                    <w:rPr>
                      <w:rFonts w:ascii="Cambria Math" w:hAnsi="Cambria Math"/>
                      <w:sz w:val="16"/>
                      <w:szCs w:val="16"/>
                    </w:rPr>
                    <m:t>2</m:t>
                  </m:r>
                </m:sup>
              </m:sSup>
              <m:r>
                <m:rPr>
                  <m:sty m:val="p"/>
                </m:rPr>
                <w:rPr>
                  <w:rFonts w:ascii="Cambria Math" w:hAnsi="Cambria Math"/>
                  <w:sz w:val="16"/>
                  <w:szCs w:val="16"/>
                </w:rPr>
                <m:t xml:space="preserve">  </m:t>
              </m:r>
            </m:oMath>
            <w:r w:rsidRPr="00E739E4">
              <w:rPr>
                <w:sz w:val="16"/>
                <w:szCs w:val="16"/>
              </w:rPr>
              <w:t>= 0,873</w:t>
            </w:r>
          </w:p>
        </w:tc>
        <w:tc>
          <w:tcPr>
            <w:tcW w:w="2268" w:type="dxa"/>
            <w:noWrap/>
            <w:hideMark/>
          </w:tcPr>
          <w:p w:rsidR="00E739E4" w:rsidRPr="00E739E4" w:rsidRDefault="00E739E4" w:rsidP="00E739E4">
            <w:pPr>
              <w:ind w:left="-154"/>
              <w:jc w:val="right"/>
              <w:cnfStyle w:val="000000100000" w:firstRow="0" w:lastRow="0" w:firstColumn="0" w:lastColumn="0" w:oddVBand="0" w:evenVBand="0" w:oddHBand="1" w:evenHBand="0" w:firstRowFirstColumn="0" w:firstRowLastColumn="0" w:lastRowFirstColumn="0" w:lastRowLastColumn="0"/>
              <w:rPr>
                <w:sz w:val="16"/>
                <w:szCs w:val="16"/>
              </w:rPr>
            </w:pPr>
            <w:r w:rsidRPr="00E739E4">
              <w:rPr>
                <w:sz w:val="16"/>
                <w:szCs w:val="16"/>
              </w:rPr>
              <w:t>Durbin-Watson = 2,33</w:t>
            </w:r>
          </w:p>
        </w:tc>
      </w:tr>
    </w:tbl>
    <w:p w:rsidR="00894A14" w:rsidRDefault="00E739E4" w:rsidP="00E739E4">
      <w:pPr>
        <w:rPr>
          <w:rFonts w:cs="Calibri"/>
          <w:b/>
          <w:i/>
          <w:iCs/>
          <w:color w:val="000000"/>
          <w:sz w:val="16"/>
          <w:szCs w:val="16"/>
        </w:rPr>
      </w:pPr>
      <w:r>
        <w:t>Ovanstående modell är en linjär modell.</w:t>
      </w:r>
      <w:r w:rsidRPr="00E739E4">
        <w:rPr>
          <w:rFonts w:cs="Calibri"/>
          <w:b/>
          <w:i/>
          <w:iCs/>
          <w:color w:val="000000"/>
          <w:sz w:val="16"/>
          <w:szCs w:val="16"/>
        </w:rPr>
        <w:t xml:space="preserve"> </w:t>
      </w:r>
    </w:p>
    <w:p w:rsidR="00E739E4" w:rsidRDefault="00894A14" w:rsidP="00E739E4">
      <w:pPr>
        <w:rPr>
          <w:rFonts w:cs="Calibri"/>
          <w:b/>
          <w:i/>
          <w:iCs/>
          <w:color w:val="000000"/>
          <w:sz w:val="16"/>
          <w:szCs w:val="16"/>
        </w:rPr>
      </w:pPr>
      <w:r w:rsidRPr="00933E8E">
        <w:rPr>
          <w:rFonts w:cs="Calibri"/>
          <w:b/>
          <w:i/>
          <w:iCs/>
          <w:color w:val="000000"/>
          <w:sz w:val="16"/>
          <w:szCs w:val="16"/>
        </w:rPr>
        <w:t>Tabell 2</w:t>
      </w:r>
      <w:r w:rsidR="00C128AF">
        <w:rPr>
          <w:rFonts w:cs="Calibri"/>
          <w:b/>
          <w:i/>
          <w:iCs/>
          <w:color w:val="000000"/>
          <w:sz w:val="16"/>
          <w:szCs w:val="16"/>
        </w:rPr>
        <w:t>3</w:t>
      </w:r>
      <w:r w:rsidRPr="00933E8E">
        <w:rPr>
          <w:rFonts w:cs="Calibri"/>
          <w:b/>
          <w:i/>
          <w:iCs/>
          <w:color w:val="000000"/>
          <w:sz w:val="16"/>
          <w:szCs w:val="16"/>
        </w:rPr>
        <w:t>. Modell för påbörjad skyddstillsyn (2009–2013).</w:t>
      </w:r>
    </w:p>
    <w:tbl>
      <w:tblPr>
        <w:tblStyle w:val="Ljuslista-dekorfrg3"/>
        <w:tblW w:w="6912" w:type="dxa"/>
        <w:tblLook w:val="04A0" w:firstRow="1" w:lastRow="0" w:firstColumn="1" w:lastColumn="0" w:noHBand="0" w:noVBand="1"/>
      </w:tblPr>
      <w:tblGrid>
        <w:gridCol w:w="2221"/>
        <w:gridCol w:w="2423"/>
        <w:gridCol w:w="2268"/>
      </w:tblGrid>
      <w:tr w:rsidR="00E739E4" w:rsidRPr="00894A14" w:rsidTr="00080B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894A14" w:rsidRDefault="00E739E4" w:rsidP="00E739E4">
            <w:pPr>
              <w:rPr>
                <w:color w:val="auto"/>
                <w:sz w:val="16"/>
                <w:szCs w:val="16"/>
              </w:rPr>
            </w:pPr>
            <w:r w:rsidRPr="00894A14">
              <w:rPr>
                <w:color w:val="auto"/>
                <w:sz w:val="16"/>
                <w:szCs w:val="16"/>
              </w:rPr>
              <w:t>Parameter</w:t>
            </w:r>
          </w:p>
        </w:tc>
        <w:tc>
          <w:tcPr>
            <w:tcW w:w="2423" w:type="dxa"/>
            <w:noWrap/>
            <w:hideMark/>
          </w:tcPr>
          <w:p w:rsidR="00E739E4" w:rsidRPr="00894A14" w:rsidRDefault="00E739E4" w:rsidP="00933E8E">
            <w:pPr>
              <w:ind w:right="-91"/>
              <w:jc w:val="right"/>
              <w:cnfStyle w:val="100000000000" w:firstRow="1" w:lastRow="0" w:firstColumn="0" w:lastColumn="0" w:oddVBand="0" w:evenVBand="0" w:oddHBand="0" w:evenHBand="0" w:firstRowFirstColumn="0" w:firstRowLastColumn="0" w:lastRowFirstColumn="0" w:lastRowLastColumn="0"/>
              <w:rPr>
                <w:color w:val="auto"/>
                <w:sz w:val="16"/>
                <w:szCs w:val="16"/>
              </w:rPr>
            </w:pPr>
            <w:r w:rsidRPr="00894A14">
              <w:rPr>
                <w:color w:val="auto"/>
                <w:sz w:val="16"/>
                <w:szCs w:val="16"/>
              </w:rPr>
              <w:t>Koefficient</w:t>
            </w:r>
          </w:p>
        </w:tc>
        <w:tc>
          <w:tcPr>
            <w:tcW w:w="2268" w:type="dxa"/>
            <w:noWrap/>
            <w:hideMark/>
          </w:tcPr>
          <w:p w:rsidR="00E739E4" w:rsidRPr="00894A14" w:rsidRDefault="00E739E4" w:rsidP="00E739E4">
            <w:pPr>
              <w:ind w:left="-300"/>
              <w:jc w:val="right"/>
              <w:cnfStyle w:val="100000000000" w:firstRow="1" w:lastRow="0" w:firstColumn="0" w:lastColumn="0" w:oddVBand="0" w:evenVBand="0" w:oddHBand="0" w:evenHBand="0" w:firstRowFirstColumn="0" w:firstRowLastColumn="0" w:lastRowFirstColumn="0" w:lastRowLastColumn="0"/>
              <w:rPr>
                <w:color w:val="auto"/>
                <w:sz w:val="16"/>
                <w:szCs w:val="16"/>
              </w:rPr>
            </w:pPr>
            <w:r w:rsidRPr="00894A14">
              <w:rPr>
                <w:color w:val="auto"/>
                <w:sz w:val="16"/>
                <w:szCs w:val="16"/>
              </w:rPr>
              <w:t>p-värde</w:t>
            </w:r>
          </w:p>
        </w:tc>
      </w:tr>
      <w:tr w:rsidR="00E739E4" w:rsidRPr="00E739E4" w:rsidTr="00080B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E739E4" w:rsidRDefault="00E739E4" w:rsidP="00E739E4">
            <w:pPr>
              <w:rPr>
                <w:rFonts w:cs="Calibri"/>
                <w:b w:val="0"/>
                <w:color w:val="000000"/>
                <w:sz w:val="16"/>
                <w:szCs w:val="16"/>
              </w:rPr>
            </w:pPr>
            <w:r w:rsidRPr="00E739E4">
              <w:rPr>
                <w:rFonts w:cs="Calibri"/>
                <w:b w:val="0"/>
                <w:color w:val="000000"/>
                <w:sz w:val="16"/>
                <w:szCs w:val="16"/>
              </w:rPr>
              <w:t>Intercept</w:t>
            </w:r>
          </w:p>
        </w:tc>
        <w:tc>
          <w:tcPr>
            <w:tcW w:w="2423" w:type="dxa"/>
            <w:noWrap/>
          </w:tcPr>
          <w:p w:rsidR="00E739E4" w:rsidRPr="00E739E4" w:rsidRDefault="00E739E4" w:rsidP="00933E8E">
            <w:pPr>
              <w:ind w:right="-91"/>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E739E4">
              <w:rPr>
                <w:rFonts w:cs="Calibri"/>
                <w:color w:val="000000"/>
                <w:sz w:val="16"/>
                <w:szCs w:val="16"/>
              </w:rPr>
              <w:t>8 271</w:t>
            </w:r>
          </w:p>
        </w:tc>
        <w:tc>
          <w:tcPr>
            <w:tcW w:w="2268" w:type="dxa"/>
            <w:noWrap/>
          </w:tcPr>
          <w:p w:rsidR="00E739E4" w:rsidRPr="00E739E4" w:rsidRDefault="00E739E4" w:rsidP="00E739E4">
            <w:pPr>
              <w:ind w:left="-300"/>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&lt;</w:t>
            </w:r>
            <w:r w:rsidR="00080BE6">
              <w:rPr>
                <w:rFonts w:cs="Calibri"/>
                <w:color w:val="000000"/>
                <w:sz w:val="16"/>
                <w:szCs w:val="16"/>
              </w:rPr>
              <w:t xml:space="preserve"> </w:t>
            </w:r>
            <w:r>
              <w:rPr>
                <w:rFonts w:cs="Calibri"/>
                <w:color w:val="000000"/>
                <w:sz w:val="16"/>
                <w:szCs w:val="16"/>
              </w:rPr>
              <w:t>0,00</w:t>
            </w:r>
            <w:r w:rsidRPr="00E739E4">
              <w:rPr>
                <w:rFonts w:cs="Calibri"/>
                <w:color w:val="000000"/>
                <w:sz w:val="16"/>
                <w:szCs w:val="16"/>
              </w:rPr>
              <w:t>1</w:t>
            </w:r>
          </w:p>
        </w:tc>
      </w:tr>
      <w:tr w:rsidR="00E739E4" w:rsidRPr="00E739E4" w:rsidTr="00080BE6">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E739E4" w:rsidRDefault="00E739E4" w:rsidP="00E739E4">
            <w:pPr>
              <w:rPr>
                <w:rFonts w:cs="Calibri"/>
                <w:b w:val="0"/>
                <w:color w:val="000000"/>
                <w:sz w:val="16"/>
                <w:szCs w:val="16"/>
              </w:rPr>
            </w:pPr>
            <w:r w:rsidRPr="00E739E4">
              <w:rPr>
                <w:rFonts w:cs="Calibri"/>
                <w:b w:val="0"/>
                <w:color w:val="000000"/>
                <w:sz w:val="16"/>
                <w:szCs w:val="16"/>
              </w:rPr>
              <w:t>Tid</w:t>
            </w:r>
          </w:p>
        </w:tc>
        <w:tc>
          <w:tcPr>
            <w:tcW w:w="2423" w:type="dxa"/>
            <w:noWrap/>
          </w:tcPr>
          <w:p w:rsidR="00E739E4" w:rsidRPr="00E739E4" w:rsidRDefault="00E739E4" w:rsidP="00933E8E">
            <w:pPr>
              <w:ind w:right="-91"/>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E739E4">
              <w:rPr>
                <w:rFonts w:cs="Calibri"/>
                <w:color w:val="000000"/>
                <w:sz w:val="16"/>
                <w:szCs w:val="16"/>
              </w:rPr>
              <w:t>– 267,8</w:t>
            </w:r>
          </w:p>
        </w:tc>
        <w:tc>
          <w:tcPr>
            <w:tcW w:w="2268" w:type="dxa"/>
            <w:noWrap/>
          </w:tcPr>
          <w:p w:rsidR="00E739E4" w:rsidRPr="00E739E4" w:rsidRDefault="00E739E4" w:rsidP="00E739E4">
            <w:pPr>
              <w:ind w:left="-300"/>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0,016</w:t>
            </w:r>
          </w:p>
        </w:tc>
      </w:tr>
      <w:tr w:rsidR="00E739E4" w:rsidRPr="00E739E4" w:rsidTr="00080BE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E739E4" w:rsidRDefault="00E739E4" w:rsidP="00E739E4">
            <w:pPr>
              <w:rPr>
                <w:rFonts w:cs="Calibri"/>
                <w:b w:val="0"/>
                <w:color w:val="000000"/>
                <w:sz w:val="16"/>
                <w:szCs w:val="16"/>
              </w:rPr>
            </w:pPr>
            <w:r w:rsidRPr="00E739E4">
              <w:rPr>
                <w:rFonts w:cs="Calibri"/>
                <w:b w:val="0"/>
                <w:color w:val="000000"/>
                <w:sz w:val="16"/>
                <w:szCs w:val="16"/>
              </w:rPr>
              <w:t> MAPE (månad) = 1,33</w:t>
            </w:r>
          </w:p>
        </w:tc>
        <w:tc>
          <w:tcPr>
            <w:tcW w:w="2423" w:type="dxa"/>
            <w:noWrap/>
            <w:hideMark/>
          </w:tcPr>
          <w:p w:rsidR="00E739E4" w:rsidRPr="00E739E4" w:rsidRDefault="00E739E4" w:rsidP="00933E8E">
            <w:pPr>
              <w:ind w:right="-91"/>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m:oMath>
              <m:sSup>
                <m:sSupPr>
                  <m:ctrlPr>
                    <w:rPr>
                      <w:rFonts w:ascii="Cambria Math" w:hAnsi="Cambria Math" w:cs="Calibri"/>
                      <w:color w:val="000000"/>
                      <w:sz w:val="16"/>
                      <w:szCs w:val="16"/>
                    </w:rPr>
                  </m:ctrlPr>
                </m:sSupPr>
                <m:e>
                  <m:r>
                    <m:rPr>
                      <m:sty m:val="p"/>
                    </m:rPr>
                    <w:rPr>
                      <w:rFonts w:ascii="Cambria Math" w:hAnsi="Cambria Math" w:cs="Calibri"/>
                      <w:color w:val="000000"/>
                      <w:sz w:val="16"/>
                      <w:szCs w:val="16"/>
                    </w:rPr>
                    <m:t>R</m:t>
                  </m:r>
                </m:e>
                <m:sup>
                  <m:r>
                    <m:rPr>
                      <m:sty m:val="p"/>
                    </m:rPr>
                    <w:rPr>
                      <w:rFonts w:ascii="Cambria Math" w:hAnsi="Cambria Math" w:cs="Calibri"/>
                      <w:color w:val="000000"/>
                      <w:sz w:val="16"/>
                      <w:szCs w:val="16"/>
                    </w:rPr>
                    <m:t>2</m:t>
                  </m:r>
                </m:sup>
              </m:sSup>
              <m:r>
                <w:rPr>
                  <w:rFonts w:ascii="Cambria Math" w:hAnsi="Cambria Math" w:cs="Calibri"/>
                  <w:color w:val="000000"/>
                  <w:sz w:val="16"/>
                  <w:szCs w:val="16"/>
                </w:rPr>
                <m:t xml:space="preserve">  </m:t>
              </m:r>
            </m:oMath>
            <w:r w:rsidRPr="00E739E4">
              <w:rPr>
                <w:rFonts w:cs="Calibri"/>
                <w:color w:val="000000"/>
                <w:sz w:val="16"/>
                <w:szCs w:val="16"/>
              </w:rPr>
              <w:t>= 0,891</w:t>
            </w:r>
          </w:p>
        </w:tc>
        <w:tc>
          <w:tcPr>
            <w:tcW w:w="2268" w:type="dxa"/>
            <w:noWrap/>
            <w:hideMark/>
          </w:tcPr>
          <w:p w:rsidR="00E739E4" w:rsidRPr="00E739E4" w:rsidRDefault="00E739E4" w:rsidP="00E739E4">
            <w:pPr>
              <w:ind w:left="-300"/>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E739E4">
              <w:rPr>
                <w:rFonts w:cs="Calibri"/>
                <w:color w:val="000000"/>
                <w:sz w:val="16"/>
                <w:szCs w:val="16"/>
              </w:rPr>
              <w:t>Durbin-Watson = 1,61</w:t>
            </w:r>
          </w:p>
        </w:tc>
      </w:tr>
    </w:tbl>
    <w:p w:rsidR="00894A14" w:rsidRDefault="00E739E4" w:rsidP="00E739E4">
      <w:pPr>
        <w:rPr>
          <w:rFonts w:cs="Calibri"/>
          <w:i/>
          <w:iCs/>
          <w:color w:val="000000"/>
          <w:sz w:val="16"/>
          <w:szCs w:val="16"/>
        </w:rPr>
      </w:pPr>
      <w:r>
        <w:t>Ovanstående modell är en linjär modell.</w:t>
      </w:r>
      <w:r w:rsidR="00933E8E" w:rsidRPr="00933E8E">
        <w:rPr>
          <w:rFonts w:cs="Calibri"/>
          <w:i/>
          <w:iCs/>
          <w:color w:val="000000"/>
          <w:sz w:val="16"/>
          <w:szCs w:val="16"/>
        </w:rPr>
        <w:t xml:space="preserve"> </w:t>
      </w:r>
    </w:p>
    <w:p w:rsidR="00894A14" w:rsidRDefault="00894A14">
      <w:pPr>
        <w:rPr>
          <w:rFonts w:cs="Calibri"/>
          <w:b/>
          <w:i/>
          <w:iCs/>
          <w:color w:val="000000"/>
          <w:sz w:val="16"/>
          <w:szCs w:val="16"/>
        </w:rPr>
      </w:pPr>
      <w:r>
        <w:rPr>
          <w:rFonts w:cs="Calibri"/>
          <w:b/>
          <w:i/>
          <w:iCs/>
          <w:color w:val="000000"/>
          <w:sz w:val="16"/>
          <w:szCs w:val="16"/>
        </w:rPr>
        <w:br w:type="page"/>
      </w:r>
    </w:p>
    <w:p w:rsidR="00E739E4" w:rsidRDefault="00933E8E" w:rsidP="00E739E4">
      <w:r w:rsidRPr="00933E8E">
        <w:rPr>
          <w:rFonts w:cs="Calibri"/>
          <w:b/>
          <w:i/>
          <w:iCs/>
          <w:color w:val="000000"/>
          <w:sz w:val="16"/>
          <w:szCs w:val="16"/>
        </w:rPr>
        <w:lastRenderedPageBreak/>
        <w:t xml:space="preserve">Tabell </w:t>
      </w:r>
      <w:r w:rsidR="00894A14">
        <w:rPr>
          <w:rFonts w:cs="Calibri"/>
          <w:b/>
          <w:i/>
          <w:iCs/>
          <w:color w:val="000000"/>
          <w:sz w:val="16"/>
          <w:szCs w:val="16"/>
        </w:rPr>
        <w:t>2</w:t>
      </w:r>
      <w:r w:rsidR="00C128AF">
        <w:rPr>
          <w:rFonts w:cs="Calibri"/>
          <w:b/>
          <w:i/>
          <w:iCs/>
          <w:color w:val="000000"/>
          <w:sz w:val="16"/>
          <w:szCs w:val="16"/>
        </w:rPr>
        <w:t>4</w:t>
      </w:r>
      <w:r w:rsidRPr="00933E8E">
        <w:rPr>
          <w:rFonts w:cs="Calibri"/>
          <w:b/>
          <w:i/>
          <w:iCs/>
          <w:color w:val="000000"/>
          <w:sz w:val="16"/>
          <w:szCs w:val="16"/>
        </w:rPr>
        <w:t>. Modell över påbörjad villkorlig dom med samhällstjänst (2003m1–2013m12)</w:t>
      </w:r>
    </w:p>
    <w:tbl>
      <w:tblPr>
        <w:tblStyle w:val="Ljuslista-dekorfrg3"/>
        <w:tblW w:w="6912" w:type="dxa"/>
        <w:tblLook w:val="04A0" w:firstRow="1" w:lastRow="0" w:firstColumn="1" w:lastColumn="0" w:noHBand="0" w:noVBand="1"/>
      </w:tblPr>
      <w:tblGrid>
        <w:gridCol w:w="2221"/>
        <w:gridCol w:w="4691"/>
      </w:tblGrid>
      <w:tr w:rsidR="00E739E4" w:rsidRPr="00A145AA" w:rsidTr="00894A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A145AA" w:rsidRDefault="00E739E4" w:rsidP="00E739E4">
            <w:pPr>
              <w:rPr>
                <w:rFonts w:cs="Calibri"/>
                <w:color w:val="000000"/>
                <w:sz w:val="16"/>
                <w:szCs w:val="16"/>
              </w:rPr>
            </w:pPr>
            <w:r w:rsidRPr="00A145AA">
              <w:rPr>
                <w:rFonts w:cs="Calibri"/>
                <w:color w:val="000000"/>
                <w:sz w:val="16"/>
                <w:szCs w:val="16"/>
              </w:rPr>
              <w:t>Parameter</w:t>
            </w:r>
          </w:p>
        </w:tc>
        <w:tc>
          <w:tcPr>
            <w:tcW w:w="4691" w:type="dxa"/>
            <w:noWrap/>
            <w:hideMark/>
          </w:tcPr>
          <w:p w:rsidR="00E739E4" w:rsidRPr="00A145AA" w:rsidRDefault="00E739E4" w:rsidP="00E739E4">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A145AA">
              <w:rPr>
                <w:rFonts w:cs="Calibri"/>
                <w:color w:val="000000"/>
                <w:sz w:val="16"/>
                <w:szCs w:val="16"/>
              </w:rPr>
              <w:t>Koefficient</w:t>
            </w:r>
          </w:p>
        </w:tc>
      </w:tr>
      <w:tr w:rsidR="00E739E4" w:rsidRPr="00E739E4" w:rsidTr="00894A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E739E4" w:rsidRDefault="00E739E4" w:rsidP="00E739E4">
            <w:pPr>
              <w:rPr>
                <w:rFonts w:cs="Calibri"/>
                <w:b w:val="0"/>
                <w:color w:val="000000"/>
                <w:sz w:val="16"/>
                <w:szCs w:val="16"/>
              </w:rPr>
            </w:pPr>
            <w:r w:rsidRPr="00E739E4">
              <w:rPr>
                <w:rFonts w:cs="Calibri"/>
                <w:b w:val="0"/>
                <w:color w:val="000000"/>
                <w:sz w:val="16"/>
                <w:szCs w:val="16"/>
              </w:rPr>
              <w:t>Alpha</w:t>
            </w:r>
          </w:p>
        </w:tc>
        <w:tc>
          <w:tcPr>
            <w:tcW w:w="4691" w:type="dxa"/>
            <w:noWrap/>
          </w:tcPr>
          <w:p w:rsidR="00E739E4" w:rsidRPr="00E739E4"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E739E4">
              <w:rPr>
                <w:rFonts w:cs="Calibri"/>
                <w:color w:val="000000"/>
                <w:sz w:val="16"/>
                <w:szCs w:val="16"/>
              </w:rPr>
              <w:t>0,293</w:t>
            </w:r>
          </w:p>
        </w:tc>
      </w:tr>
      <w:tr w:rsidR="00E739E4" w:rsidRPr="00E739E4" w:rsidTr="00894A14">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E739E4" w:rsidRDefault="00E739E4" w:rsidP="00E739E4">
            <w:pPr>
              <w:rPr>
                <w:rFonts w:cs="Calibri"/>
                <w:b w:val="0"/>
                <w:color w:val="000000"/>
                <w:sz w:val="16"/>
                <w:szCs w:val="16"/>
              </w:rPr>
            </w:pPr>
            <w:r w:rsidRPr="00E739E4">
              <w:rPr>
                <w:rFonts w:cs="Calibri"/>
                <w:b w:val="0"/>
                <w:color w:val="000000"/>
                <w:sz w:val="16"/>
                <w:szCs w:val="16"/>
              </w:rPr>
              <w:t>Gamma</w:t>
            </w:r>
          </w:p>
        </w:tc>
        <w:tc>
          <w:tcPr>
            <w:tcW w:w="4691" w:type="dxa"/>
            <w:noWrap/>
          </w:tcPr>
          <w:p w:rsidR="00E739E4" w:rsidRPr="00E739E4"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E739E4">
              <w:rPr>
                <w:rFonts w:cs="Calibri"/>
                <w:color w:val="000000"/>
                <w:sz w:val="16"/>
                <w:szCs w:val="16"/>
              </w:rPr>
              <w:t>0,001</w:t>
            </w:r>
          </w:p>
        </w:tc>
      </w:tr>
      <w:tr w:rsidR="00E739E4" w:rsidRPr="00E739E4" w:rsidTr="00894A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E739E4" w:rsidRDefault="00E739E4" w:rsidP="00E739E4">
            <w:pPr>
              <w:rPr>
                <w:rFonts w:cs="Calibri"/>
                <w:b w:val="0"/>
                <w:color w:val="000000"/>
                <w:sz w:val="16"/>
                <w:szCs w:val="16"/>
              </w:rPr>
            </w:pPr>
            <w:r w:rsidRPr="00E739E4">
              <w:rPr>
                <w:rFonts w:cs="Calibri"/>
                <w:b w:val="0"/>
                <w:color w:val="000000"/>
                <w:sz w:val="16"/>
                <w:szCs w:val="16"/>
              </w:rPr>
              <w:t>Additiv säsong, januari</w:t>
            </w:r>
          </w:p>
        </w:tc>
        <w:tc>
          <w:tcPr>
            <w:tcW w:w="4691" w:type="dxa"/>
            <w:noWrap/>
          </w:tcPr>
          <w:p w:rsidR="00E739E4" w:rsidRPr="00E739E4"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E739E4">
              <w:rPr>
                <w:rFonts w:cs="Calibri"/>
                <w:color w:val="000000"/>
                <w:sz w:val="16"/>
                <w:szCs w:val="16"/>
              </w:rPr>
              <w:t>0,149</w:t>
            </w:r>
          </w:p>
        </w:tc>
      </w:tr>
      <w:tr w:rsidR="00E739E4" w:rsidRPr="00E739E4" w:rsidTr="00894A14">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E739E4" w:rsidRDefault="00E739E4" w:rsidP="00E739E4">
            <w:pPr>
              <w:rPr>
                <w:rFonts w:cs="Calibri"/>
                <w:b w:val="0"/>
                <w:color w:val="000000"/>
                <w:sz w:val="16"/>
                <w:szCs w:val="16"/>
              </w:rPr>
            </w:pPr>
            <w:r w:rsidRPr="00E739E4">
              <w:rPr>
                <w:rFonts w:cs="Calibri"/>
                <w:b w:val="0"/>
                <w:color w:val="000000"/>
                <w:sz w:val="16"/>
                <w:szCs w:val="16"/>
              </w:rPr>
              <w:t>Additiv säsong, februari</w:t>
            </w:r>
          </w:p>
        </w:tc>
        <w:tc>
          <w:tcPr>
            <w:tcW w:w="4691" w:type="dxa"/>
            <w:noWrap/>
          </w:tcPr>
          <w:p w:rsidR="00E739E4" w:rsidRPr="00E739E4"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E739E4">
              <w:rPr>
                <w:rFonts w:cs="Calibri"/>
                <w:color w:val="000000"/>
                <w:sz w:val="16"/>
                <w:szCs w:val="16"/>
              </w:rPr>
              <w:t>0,099</w:t>
            </w:r>
          </w:p>
        </w:tc>
      </w:tr>
      <w:tr w:rsidR="00E739E4" w:rsidRPr="00E739E4" w:rsidTr="00894A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E739E4" w:rsidRDefault="00E739E4" w:rsidP="00E739E4">
            <w:pPr>
              <w:rPr>
                <w:rFonts w:cs="Calibri"/>
                <w:b w:val="0"/>
                <w:color w:val="000000"/>
                <w:sz w:val="16"/>
                <w:szCs w:val="16"/>
              </w:rPr>
            </w:pPr>
            <w:r w:rsidRPr="00E739E4">
              <w:rPr>
                <w:rFonts w:cs="Calibri"/>
                <w:b w:val="0"/>
                <w:color w:val="000000"/>
                <w:sz w:val="16"/>
                <w:szCs w:val="16"/>
              </w:rPr>
              <w:t>Additiv säsong, mars</w:t>
            </w:r>
          </w:p>
        </w:tc>
        <w:tc>
          <w:tcPr>
            <w:tcW w:w="4691" w:type="dxa"/>
            <w:noWrap/>
          </w:tcPr>
          <w:p w:rsidR="00E739E4" w:rsidRPr="00E739E4"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E739E4">
              <w:rPr>
                <w:rFonts w:cs="Calibri"/>
                <w:color w:val="000000"/>
                <w:sz w:val="16"/>
                <w:szCs w:val="16"/>
              </w:rPr>
              <w:t>0,112</w:t>
            </w:r>
          </w:p>
        </w:tc>
      </w:tr>
      <w:tr w:rsidR="00E739E4" w:rsidRPr="00E739E4" w:rsidTr="00894A14">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E739E4" w:rsidRDefault="00E739E4" w:rsidP="00E739E4">
            <w:pPr>
              <w:rPr>
                <w:rFonts w:cs="Calibri"/>
                <w:b w:val="0"/>
                <w:color w:val="000000"/>
                <w:sz w:val="16"/>
                <w:szCs w:val="16"/>
              </w:rPr>
            </w:pPr>
            <w:r w:rsidRPr="00E739E4">
              <w:rPr>
                <w:rFonts w:cs="Calibri"/>
                <w:b w:val="0"/>
                <w:color w:val="000000"/>
                <w:sz w:val="16"/>
                <w:szCs w:val="16"/>
              </w:rPr>
              <w:t>Additiv säsong, april</w:t>
            </w:r>
          </w:p>
        </w:tc>
        <w:tc>
          <w:tcPr>
            <w:tcW w:w="4691" w:type="dxa"/>
            <w:noWrap/>
          </w:tcPr>
          <w:p w:rsidR="00E739E4" w:rsidRPr="00E739E4"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E739E4">
              <w:rPr>
                <w:rFonts w:cs="Calibri"/>
                <w:color w:val="000000"/>
                <w:sz w:val="16"/>
                <w:szCs w:val="16"/>
              </w:rPr>
              <w:t>0,167</w:t>
            </w:r>
          </w:p>
        </w:tc>
      </w:tr>
      <w:tr w:rsidR="00E739E4" w:rsidRPr="00E739E4" w:rsidTr="00894A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E739E4" w:rsidRDefault="00E739E4" w:rsidP="00E739E4">
            <w:pPr>
              <w:rPr>
                <w:rFonts w:cs="Calibri"/>
                <w:b w:val="0"/>
                <w:color w:val="000000"/>
                <w:sz w:val="16"/>
                <w:szCs w:val="16"/>
              </w:rPr>
            </w:pPr>
            <w:r w:rsidRPr="00E739E4">
              <w:rPr>
                <w:rFonts w:cs="Calibri"/>
                <w:b w:val="0"/>
                <w:color w:val="000000"/>
                <w:sz w:val="16"/>
                <w:szCs w:val="16"/>
              </w:rPr>
              <w:t>Additiv säsong, maj</w:t>
            </w:r>
          </w:p>
        </w:tc>
        <w:tc>
          <w:tcPr>
            <w:tcW w:w="4691" w:type="dxa"/>
            <w:noWrap/>
          </w:tcPr>
          <w:p w:rsidR="00E739E4" w:rsidRPr="00E739E4"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E739E4">
              <w:rPr>
                <w:rFonts w:cs="Calibri"/>
                <w:color w:val="000000"/>
                <w:sz w:val="16"/>
                <w:szCs w:val="16"/>
              </w:rPr>
              <w:t>0,220</w:t>
            </w:r>
          </w:p>
        </w:tc>
      </w:tr>
      <w:tr w:rsidR="00E739E4" w:rsidRPr="00E739E4" w:rsidTr="00894A14">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E739E4" w:rsidRDefault="00E739E4" w:rsidP="00E739E4">
            <w:pPr>
              <w:rPr>
                <w:rFonts w:cs="Calibri"/>
                <w:b w:val="0"/>
                <w:color w:val="000000"/>
                <w:sz w:val="16"/>
                <w:szCs w:val="16"/>
              </w:rPr>
            </w:pPr>
            <w:r w:rsidRPr="00E739E4">
              <w:rPr>
                <w:rFonts w:cs="Calibri"/>
                <w:b w:val="0"/>
                <w:color w:val="000000"/>
                <w:sz w:val="16"/>
                <w:szCs w:val="16"/>
              </w:rPr>
              <w:t>Additiv säsong, juni</w:t>
            </w:r>
          </w:p>
        </w:tc>
        <w:tc>
          <w:tcPr>
            <w:tcW w:w="4691" w:type="dxa"/>
            <w:noWrap/>
          </w:tcPr>
          <w:p w:rsidR="00E739E4" w:rsidRPr="00E739E4"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E739E4">
              <w:rPr>
                <w:rFonts w:cs="Calibri"/>
                <w:color w:val="000000"/>
                <w:sz w:val="16"/>
                <w:szCs w:val="16"/>
              </w:rPr>
              <w:t>0,044</w:t>
            </w:r>
          </w:p>
        </w:tc>
      </w:tr>
      <w:tr w:rsidR="00E739E4" w:rsidRPr="00E739E4" w:rsidTr="00894A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E739E4" w:rsidRDefault="00E739E4" w:rsidP="00E739E4">
            <w:pPr>
              <w:rPr>
                <w:rFonts w:cs="Calibri"/>
                <w:b w:val="0"/>
                <w:color w:val="000000"/>
                <w:sz w:val="16"/>
                <w:szCs w:val="16"/>
              </w:rPr>
            </w:pPr>
            <w:r w:rsidRPr="00E739E4">
              <w:rPr>
                <w:rFonts w:cs="Calibri"/>
                <w:b w:val="0"/>
                <w:color w:val="000000"/>
                <w:sz w:val="16"/>
                <w:szCs w:val="16"/>
              </w:rPr>
              <w:t>Additiv säsong, juli</w:t>
            </w:r>
          </w:p>
        </w:tc>
        <w:tc>
          <w:tcPr>
            <w:tcW w:w="4691" w:type="dxa"/>
            <w:noWrap/>
          </w:tcPr>
          <w:p w:rsidR="00E739E4" w:rsidRPr="00E739E4" w:rsidRDefault="00080BE6"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E739E4">
              <w:rPr>
                <w:rFonts w:cs="Calibri"/>
                <w:color w:val="000000"/>
                <w:sz w:val="16"/>
                <w:szCs w:val="16"/>
              </w:rPr>
              <w:t xml:space="preserve">– </w:t>
            </w:r>
            <w:r w:rsidR="00E739E4" w:rsidRPr="00E739E4">
              <w:rPr>
                <w:rFonts w:cs="Calibri"/>
                <w:color w:val="000000"/>
                <w:sz w:val="16"/>
                <w:szCs w:val="16"/>
              </w:rPr>
              <w:t>0,477</w:t>
            </w:r>
          </w:p>
        </w:tc>
      </w:tr>
      <w:tr w:rsidR="00E739E4" w:rsidRPr="00E739E4" w:rsidTr="00894A14">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E739E4" w:rsidRDefault="00E739E4" w:rsidP="00E739E4">
            <w:pPr>
              <w:rPr>
                <w:rFonts w:cs="Calibri"/>
                <w:b w:val="0"/>
                <w:color w:val="000000"/>
                <w:sz w:val="16"/>
                <w:szCs w:val="16"/>
              </w:rPr>
            </w:pPr>
            <w:r w:rsidRPr="00E739E4">
              <w:rPr>
                <w:rFonts w:cs="Calibri"/>
                <w:b w:val="0"/>
                <w:color w:val="000000"/>
                <w:sz w:val="16"/>
                <w:szCs w:val="16"/>
              </w:rPr>
              <w:t>Additiv säsong, augusti</w:t>
            </w:r>
          </w:p>
        </w:tc>
        <w:tc>
          <w:tcPr>
            <w:tcW w:w="4691" w:type="dxa"/>
            <w:noWrap/>
          </w:tcPr>
          <w:p w:rsidR="00E739E4" w:rsidRPr="00E739E4" w:rsidRDefault="00080BE6"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E739E4">
              <w:rPr>
                <w:rFonts w:cs="Calibri"/>
                <w:color w:val="000000"/>
                <w:sz w:val="16"/>
                <w:szCs w:val="16"/>
              </w:rPr>
              <w:t xml:space="preserve">– </w:t>
            </w:r>
            <w:r w:rsidR="00E739E4" w:rsidRPr="00E739E4">
              <w:rPr>
                <w:rFonts w:cs="Calibri"/>
                <w:color w:val="000000"/>
                <w:sz w:val="16"/>
                <w:szCs w:val="16"/>
              </w:rPr>
              <w:t>0,121</w:t>
            </w:r>
          </w:p>
        </w:tc>
      </w:tr>
      <w:tr w:rsidR="00E739E4" w:rsidRPr="00E739E4" w:rsidTr="00894A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E739E4" w:rsidRDefault="00E739E4" w:rsidP="00E739E4">
            <w:pPr>
              <w:rPr>
                <w:rFonts w:cs="Calibri"/>
                <w:b w:val="0"/>
                <w:color w:val="000000"/>
                <w:sz w:val="16"/>
                <w:szCs w:val="16"/>
              </w:rPr>
            </w:pPr>
            <w:r w:rsidRPr="00E739E4">
              <w:rPr>
                <w:rFonts w:cs="Calibri"/>
                <w:b w:val="0"/>
                <w:color w:val="000000"/>
                <w:sz w:val="16"/>
                <w:szCs w:val="16"/>
              </w:rPr>
              <w:t>Additiv säsong, september</w:t>
            </w:r>
          </w:p>
        </w:tc>
        <w:tc>
          <w:tcPr>
            <w:tcW w:w="4691" w:type="dxa"/>
            <w:noWrap/>
          </w:tcPr>
          <w:p w:rsidR="00E739E4" w:rsidRPr="00E739E4"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E739E4">
              <w:rPr>
                <w:rFonts w:cs="Calibri"/>
                <w:color w:val="000000"/>
                <w:sz w:val="16"/>
                <w:szCs w:val="16"/>
              </w:rPr>
              <w:t>0,039</w:t>
            </w:r>
          </w:p>
        </w:tc>
      </w:tr>
      <w:tr w:rsidR="00E739E4" w:rsidRPr="00E739E4" w:rsidTr="00894A14">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E739E4" w:rsidRDefault="00E739E4" w:rsidP="00E739E4">
            <w:pPr>
              <w:rPr>
                <w:rFonts w:cs="Calibri"/>
                <w:b w:val="0"/>
                <w:color w:val="000000"/>
                <w:sz w:val="16"/>
                <w:szCs w:val="16"/>
              </w:rPr>
            </w:pPr>
            <w:r w:rsidRPr="00E739E4">
              <w:rPr>
                <w:rFonts w:cs="Calibri"/>
                <w:b w:val="0"/>
                <w:color w:val="000000"/>
                <w:sz w:val="16"/>
                <w:szCs w:val="16"/>
              </w:rPr>
              <w:t>Additiv säsong, oktober</w:t>
            </w:r>
          </w:p>
        </w:tc>
        <w:tc>
          <w:tcPr>
            <w:tcW w:w="4691" w:type="dxa"/>
            <w:noWrap/>
          </w:tcPr>
          <w:p w:rsidR="00E739E4" w:rsidRPr="00E739E4"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E739E4">
              <w:rPr>
                <w:rFonts w:cs="Calibri"/>
                <w:color w:val="000000"/>
                <w:sz w:val="16"/>
                <w:szCs w:val="16"/>
              </w:rPr>
              <w:t>0,057</w:t>
            </w:r>
          </w:p>
        </w:tc>
      </w:tr>
      <w:tr w:rsidR="00E739E4" w:rsidRPr="00E739E4" w:rsidTr="00894A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E739E4" w:rsidRDefault="00E739E4" w:rsidP="00E739E4">
            <w:pPr>
              <w:rPr>
                <w:rFonts w:cs="Calibri"/>
                <w:b w:val="0"/>
                <w:color w:val="000000"/>
                <w:sz w:val="16"/>
                <w:szCs w:val="16"/>
              </w:rPr>
            </w:pPr>
            <w:r w:rsidRPr="00E739E4">
              <w:rPr>
                <w:rFonts w:cs="Calibri"/>
                <w:b w:val="0"/>
                <w:color w:val="000000"/>
                <w:sz w:val="16"/>
                <w:szCs w:val="16"/>
              </w:rPr>
              <w:t>Additiv säsong, november</w:t>
            </w:r>
          </w:p>
        </w:tc>
        <w:tc>
          <w:tcPr>
            <w:tcW w:w="4691" w:type="dxa"/>
            <w:noWrap/>
          </w:tcPr>
          <w:p w:rsidR="00E739E4" w:rsidRPr="00E739E4"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E739E4">
              <w:rPr>
                <w:rFonts w:cs="Calibri"/>
                <w:color w:val="000000"/>
                <w:sz w:val="16"/>
                <w:szCs w:val="16"/>
              </w:rPr>
              <w:t>0,083</w:t>
            </w:r>
          </w:p>
        </w:tc>
      </w:tr>
      <w:tr w:rsidR="00E739E4" w:rsidRPr="00E739E4" w:rsidTr="00894A14">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E739E4" w:rsidRDefault="00E739E4" w:rsidP="00E739E4">
            <w:pPr>
              <w:rPr>
                <w:rFonts w:cs="Calibri"/>
                <w:b w:val="0"/>
                <w:color w:val="000000"/>
                <w:sz w:val="16"/>
                <w:szCs w:val="16"/>
              </w:rPr>
            </w:pPr>
            <w:r w:rsidRPr="00E739E4">
              <w:rPr>
                <w:rFonts w:cs="Calibri"/>
                <w:b w:val="0"/>
                <w:color w:val="000000"/>
                <w:sz w:val="16"/>
                <w:szCs w:val="16"/>
              </w:rPr>
              <w:t>Additiv säsong, december</w:t>
            </w:r>
          </w:p>
        </w:tc>
        <w:tc>
          <w:tcPr>
            <w:tcW w:w="4691" w:type="dxa"/>
            <w:noWrap/>
          </w:tcPr>
          <w:p w:rsidR="00E739E4" w:rsidRPr="00E739E4" w:rsidRDefault="00DD75BD"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E739E4">
              <w:rPr>
                <w:rFonts w:cs="Calibri"/>
                <w:color w:val="000000"/>
                <w:sz w:val="16"/>
                <w:szCs w:val="16"/>
              </w:rPr>
              <w:t xml:space="preserve">– </w:t>
            </w:r>
            <w:r w:rsidR="00E739E4" w:rsidRPr="00E739E4">
              <w:rPr>
                <w:rFonts w:cs="Calibri"/>
                <w:color w:val="000000"/>
                <w:sz w:val="16"/>
                <w:szCs w:val="16"/>
              </w:rPr>
              <w:t>0,373</w:t>
            </w:r>
          </w:p>
        </w:tc>
      </w:tr>
      <w:tr w:rsidR="00E739E4" w:rsidRPr="00E739E4" w:rsidTr="00894A1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E739E4" w:rsidRDefault="00E739E4" w:rsidP="00E739E4">
            <w:pPr>
              <w:rPr>
                <w:rFonts w:cs="Calibri"/>
                <w:b w:val="0"/>
                <w:color w:val="000000"/>
                <w:sz w:val="16"/>
                <w:szCs w:val="16"/>
              </w:rPr>
            </w:pPr>
            <w:r w:rsidRPr="00E739E4">
              <w:rPr>
                <w:rFonts w:cs="Calibri"/>
                <w:b w:val="0"/>
                <w:color w:val="000000"/>
                <w:sz w:val="16"/>
                <w:szCs w:val="16"/>
              </w:rPr>
              <w:t>MAPE (månad) = 9,58</w:t>
            </w:r>
          </w:p>
        </w:tc>
        <w:tc>
          <w:tcPr>
            <w:tcW w:w="4691" w:type="dxa"/>
            <w:noWrap/>
            <w:hideMark/>
          </w:tcPr>
          <w:p w:rsidR="00E739E4" w:rsidRPr="00E739E4"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E739E4">
              <w:rPr>
                <w:rFonts w:cs="Calibri"/>
                <w:color w:val="000000"/>
                <w:sz w:val="16"/>
                <w:szCs w:val="16"/>
              </w:rPr>
              <w:t>MPE (månad) = -0,14</w:t>
            </w:r>
          </w:p>
        </w:tc>
      </w:tr>
    </w:tbl>
    <w:p w:rsidR="00E739E4" w:rsidRDefault="00E739E4" w:rsidP="00E739E4">
      <w:pPr>
        <w:rPr>
          <w:rFonts w:asciiTheme="majorHAnsi" w:eastAsiaTheme="majorEastAsia" w:hAnsiTheme="majorHAnsi" w:cstheme="majorBidi"/>
          <w:b/>
          <w:bCs/>
          <w:i/>
          <w:iCs/>
          <w:color w:val="404040" w:themeColor="text1" w:themeTint="BF"/>
        </w:rPr>
      </w:pPr>
      <w:r>
        <w:t>Ovanstående modell är en modell med exponentiell utjämning. Den beroende variabeln är logaritmerad.</w:t>
      </w:r>
    </w:p>
    <w:p w:rsidR="00E739E4" w:rsidRDefault="00E739E4" w:rsidP="00E2628B">
      <w:pPr>
        <w:pStyle w:val="Rubrik2"/>
      </w:pPr>
      <w:r w:rsidRPr="002559D6">
        <w:t xml:space="preserve">Prognosmodeller över medelantalet </w:t>
      </w:r>
      <w:r>
        <w:t>häktade</w:t>
      </w:r>
    </w:p>
    <w:p w:rsidR="00894A14" w:rsidRPr="00894A14" w:rsidRDefault="00894A14" w:rsidP="00894A14">
      <w:pPr>
        <w:rPr>
          <w:b/>
        </w:rPr>
      </w:pPr>
      <w:r w:rsidRPr="00894A14">
        <w:rPr>
          <w:rFonts w:cs="Calibri"/>
          <w:b/>
          <w:i/>
          <w:iCs/>
          <w:color w:val="000000"/>
          <w:sz w:val="16"/>
          <w:szCs w:val="16"/>
        </w:rPr>
        <w:t xml:space="preserve">Tabell </w:t>
      </w:r>
      <w:r w:rsidR="00C128AF">
        <w:rPr>
          <w:rFonts w:cs="Calibri"/>
          <w:b/>
          <w:i/>
          <w:iCs/>
          <w:color w:val="000000"/>
          <w:sz w:val="16"/>
          <w:szCs w:val="16"/>
        </w:rPr>
        <w:t>25</w:t>
      </w:r>
      <w:r w:rsidRPr="00894A14">
        <w:rPr>
          <w:rFonts w:cs="Calibri"/>
          <w:b/>
          <w:i/>
          <w:iCs/>
          <w:color w:val="000000"/>
          <w:sz w:val="16"/>
          <w:szCs w:val="16"/>
        </w:rPr>
        <w:t>. Modell över Häktade (1996m1–2013m12).</w:t>
      </w:r>
    </w:p>
    <w:tbl>
      <w:tblPr>
        <w:tblStyle w:val="Ljuslista-dekorfrg3"/>
        <w:tblW w:w="6912" w:type="dxa"/>
        <w:tblLook w:val="04A0" w:firstRow="1" w:lastRow="0" w:firstColumn="1" w:lastColumn="0" w:noHBand="0" w:noVBand="1"/>
      </w:tblPr>
      <w:tblGrid>
        <w:gridCol w:w="2221"/>
        <w:gridCol w:w="3182"/>
        <w:gridCol w:w="1509"/>
      </w:tblGrid>
      <w:tr w:rsidR="00E739E4" w:rsidRPr="00894A14" w:rsidTr="00A145A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894A14" w:rsidRDefault="00E739E4" w:rsidP="00E739E4">
            <w:pPr>
              <w:rPr>
                <w:rFonts w:cs="Calibri"/>
                <w:color w:val="000000"/>
                <w:sz w:val="16"/>
                <w:szCs w:val="16"/>
              </w:rPr>
            </w:pPr>
            <w:r w:rsidRPr="00894A14">
              <w:rPr>
                <w:rFonts w:cs="Calibri"/>
                <w:color w:val="000000"/>
                <w:sz w:val="16"/>
                <w:szCs w:val="16"/>
              </w:rPr>
              <w:t>Parameter</w:t>
            </w:r>
          </w:p>
        </w:tc>
        <w:tc>
          <w:tcPr>
            <w:tcW w:w="3182" w:type="dxa"/>
            <w:noWrap/>
            <w:hideMark/>
          </w:tcPr>
          <w:p w:rsidR="00E739E4" w:rsidRPr="00894A14" w:rsidRDefault="00E739E4" w:rsidP="00E739E4">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894A14">
              <w:rPr>
                <w:rFonts w:cs="Calibri"/>
                <w:color w:val="000000"/>
                <w:sz w:val="16"/>
                <w:szCs w:val="16"/>
              </w:rPr>
              <w:t>Koefficient</w:t>
            </w:r>
          </w:p>
        </w:tc>
        <w:tc>
          <w:tcPr>
            <w:tcW w:w="1509" w:type="dxa"/>
            <w:noWrap/>
            <w:hideMark/>
          </w:tcPr>
          <w:p w:rsidR="00E739E4" w:rsidRPr="00894A14" w:rsidRDefault="00E739E4" w:rsidP="00E739E4">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894A14">
              <w:rPr>
                <w:rFonts w:cs="Calibri"/>
                <w:color w:val="000000"/>
                <w:sz w:val="16"/>
                <w:szCs w:val="16"/>
              </w:rPr>
              <w:t>p-värde</w:t>
            </w:r>
          </w:p>
        </w:tc>
      </w:tr>
      <w:tr w:rsidR="00E739E4" w:rsidRPr="00E739E4" w:rsidTr="00A145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E739E4" w:rsidRDefault="00E739E4" w:rsidP="00E739E4">
            <w:pPr>
              <w:rPr>
                <w:rFonts w:cs="Calibri"/>
                <w:b w:val="0"/>
                <w:color w:val="000000"/>
                <w:sz w:val="16"/>
                <w:szCs w:val="16"/>
              </w:rPr>
            </w:pPr>
            <w:r w:rsidRPr="00E739E4">
              <w:rPr>
                <w:rFonts w:cs="Calibri"/>
                <w:b w:val="0"/>
                <w:color w:val="000000"/>
                <w:sz w:val="16"/>
                <w:szCs w:val="16"/>
              </w:rPr>
              <w:t>MA(1)</w:t>
            </w:r>
          </w:p>
        </w:tc>
        <w:tc>
          <w:tcPr>
            <w:tcW w:w="3182" w:type="dxa"/>
            <w:noWrap/>
          </w:tcPr>
          <w:p w:rsidR="00E739E4" w:rsidRPr="00E739E4"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E739E4">
              <w:rPr>
                <w:rFonts w:cs="Calibri"/>
                <w:color w:val="000000"/>
                <w:sz w:val="16"/>
                <w:szCs w:val="16"/>
              </w:rPr>
              <w:t>0,481</w:t>
            </w:r>
          </w:p>
        </w:tc>
        <w:tc>
          <w:tcPr>
            <w:tcW w:w="1509" w:type="dxa"/>
            <w:noWrap/>
          </w:tcPr>
          <w:p w:rsidR="00E739E4" w:rsidRPr="00E739E4" w:rsidRDefault="00894A14" w:rsidP="00894A1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&lt;</w:t>
            </w:r>
            <w:r w:rsidR="002B630E">
              <w:rPr>
                <w:rFonts w:cs="Calibri"/>
                <w:color w:val="000000"/>
                <w:sz w:val="16"/>
                <w:szCs w:val="16"/>
              </w:rPr>
              <w:t xml:space="preserve"> </w:t>
            </w:r>
            <w:r>
              <w:rPr>
                <w:rFonts w:cs="Calibri"/>
                <w:color w:val="000000"/>
                <w:sz w:val="16"/>
                <w:szCs w:val="16"/>
              </w:rPr>
              <w:t>0</w:t>
            </w:r>
            <w:r w:rsidR="00E739E4" w:rsidRPr="00E739E4">
              <w:rPr>
                <w:rFonts w:cs="Calibri"/>
                <w:color w:val="000000"/>
                <w:sz w:val="16"/>
                <w:szCs w:val="16"/>
              </w:rPr>
              <w:t>,001</w:t>
            </w:r>
          </w:p>
        </w:tc>
      </w:tr>
      <w:tr w:rsidR="00E739E4" w:rsidRPr="00E739E4" w:rsidTr="00A145AA">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E739E4" w:rsidRDefault="00E739E4" w:rsidP="00E739E4">
            <w:pPr>
              <w:rPr>
                <w:rFonts w:cs="Calibri"/>
                <w:b w:val="0"/>
                <w:color w:val="000000"/>
                <w:sz w:val="16"/>
                <w:szCs w:val="16"/>
              </w:rPr>
            </w:pPr>
            <w:r w:rsidRPr="00E739E4">
              <w:rPr>
                <w:rFonts w:cs="Calibri"/>
                <w:b w:val="0"/>
                <w:color w:val="000000"/>
                <w:sz w:val="16"/>
                <w:szCs w:val="16"/>
              </w:rPr>
              <w:t>MA(2)</w:t>
            </w:r>
          </w:p>
        </w:tc>
        <w:tc>
          <w:tcPr>
            <w:tcW w:w="3182" w:type="dxa"/>
            <w:noWrap/>
          </w:tcPr>
          <w:p w:rsidR="00E739E4" w:rsidRPr="00E739E4"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E739E4">
              <w:rPr>
                <w:rFonts w:cs="Calibri"/>
                <w:color w:val="000000"/>
                <w:sz w:val="16"/>
                <w:szCs w:val="16"/>
              </w:rPr>
              <w:t>0,193</w:t>
            </w:r>
          </w:p>
        </w:tc>
        <w:tc>
          <w:tcPr>
            <w:tcW w:w="1509" w:type="dxa"/>
            <w:noWrap/>
          </w:tcPr>
          <w:p w:rsidR="00E739E4" w:rsidRPr="00E739E4" w:rsidRDefault="002B630E" w:rsidP="00894A1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 xml:space="preserve"> </w:t>
            </w:r>
            <w:r w:rsidR="00E739E4" w:rsidRPr="00E739E4">
              <w:rPr>
                <w:rFonts w:cs="Calibri"/>
                <w:color w:val="000000"/>
                <w:sz w:val="16"/>
                <w:szCs w:val="16"/>
              </w:rPr>
              <w:t>0,00</w:t>
            </w:r>
            <w:r w:rsidR="00894A14">
              <w:rPr>
                <w:rFonts w:cs="Calibri"/>
                <w:color w:val="000000"/>
                <w:sz w:val="16"/>
                <w:szCs w:val="16"/>
              </w:rPr>
              <w:t>6</w:t>
            </w:r>
          </w:p>
        </w:tc>
      </w:tr>
      <w:tr w:rsidR="00E739E4" w:rsidRPr="00E739E4" w:rsidTr="00A145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E739E4" w:rsidRDefault="00E739E4" w:rsidP="00E739E4">
            <w:pPr>
              <w:rPr>
                <w:rFonts w:cs="Calibri"/>
                <w:b w:val="0"/>
                <w:color w:val="000000"/>
                <w:sz w:val="16"/>
                <w:szCs w:val="16"/>
              </w:rPr>
            </w:pPr>
            <w:r w:rsidRPr="00E739E4">
              <w:rPr>
                <w:rFonts w:cs="Calibri"/>
                <w:b w:val="0"/>
                <w:color w:val="000000"/>
                <w:sz w:val="16"/>
                <w:szCs w:val="16"/>
              </w:rPr>
              <w:t>SMA (1)</w:t>
            </w:r>
          </w:p>
        </w:tc>
        <w:tc>
          <w:tcPr>
            <w:tcW w:w="3182" w:type="dxa"/>
            <w:noWrap/>
          </w:tcPr>
          <w:p w:rsidR="00E739E4" w:rsidRPr="00E739E4"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E739E4">
              <w:rPr>
                <w:rFonts w:cs="Calibri"/>
                <w:color w:val="000000"/>
                <w:sz w:val="16"/>
                <w:szCs w:val="16"/>
              </w:rPr>
              <w:t>0,800</w:t>
            </w:r>
          </w:p>
        </w:tc>
        <w:tc>
          <w:tcPr>
            <w:tcW w:w="1509" w:type="dxa"/>
            <w:noWrap/>
          </w:tcPr>
          <w:p w:rsidR="00E739E4" w:rsidRPr="00E739E4" w:rsidRDefault="00894A14" w:rsidP="00894A1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&lt;</w:t>
            </w:r>
            <w:r w:rsidR="002B630E">
              <w:rPr>
                <w:rFonts w:cs="Calibri"/>
                <w:color w:val="000000"/>
                <w:sz w:val="16"/>
                <w:szCs w:val="16"/>
              </w:rPr>
              <w:t xml:space="preserve"> </w:t>
            </w:r>
            <w:r>
              <w:rPr>
                <w:rFonts w:cs="Calibri"/>
                <w:color w:val="000000"/>
                <w:sz w:val="16"/>
                <w:szCs w:val="16"/>
              </w:rPr>
              <w:t>0</w:t>
            </w:r>
            <w:r w:rsidR="00E739E4" w:rsidRPr="00E739E4">
              <w:rPr>
                <w:rFonts w:cs="Calibri"/>
                <w:color w:val="000000"/>
                <w:sz w:val="16"/>
                <w:szCs w:val="16"/>
              </w:rPr>
              <w:t>,00</w:t>
            </w:r>
            <w:r>
              <w:rPr>
                <w:rFonts w:cs="Calibri"/>
                <w:color w:val="000000"/>
                <w:sz w:val="16"/>
                <w:szCs w:val="16"/>
              </w:rPr>
              <w:t>1</w:t>
            </w:r>
          </w:p>
        </w:tc>
      </w:tr>
      <w:tr w:rsidR="00E739E4" w:rsidRPr="00E739E4" w:rsidTr="00A145AA">
        <w:trPr>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E739E4" w:rsidRDefault="00E739E4" w:rsidP="00E739E4">
            <w:pPr>
              <w:rPr>
                <w:rFonts w:cs="Calibri"/>
                <w:b w:val="0"/>
                <w:color w:val="000000"/>
                <w:sz w:val="16"/>
                <w:szCs w:val="16"/>
              </w:rPr>
            </w:pPr>
            <w:r w:rsidRPr="00E739E4">
              <w:rPr>
                <w:rFonts w:cs="Calibri"/>
                <w:b w:val="0"/>
                <w:color w:val="000000"/>
                <w:sz w:val="16"/>
                <w:szCs w:val="16"/>
              </w:rPr>
              <w:t> MAPE (månad) = 3,53</w:t>
            </w:r>
          </w:p>
        </w:tc>
        <w:tc>
          <w:tcPr>
            <w:tcW w:w="3182" w:type="dxa"/>
            <w:noWrap/>
          </w:tcPr>
          <w:p w:rsidR="00E739E4" w:rsidRPr="00E739E4"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E739E4">
              <w:rPr>
                <w:rFonts w:cs="Calibri"/>
                <w:color w:val="000000"/>
                <w:sz w:val="16"/>
                <w:szCs w:val="16"/>
              </w:rPr>
              <w:t>MPE (månad) = -0,10</w:t>
            </w:r>
          </w:p>
        </w:tc>
        <w:tc>
          <w:tcPr>
            <w:tcW w:w="1509" w:type="dxa"/>
            <w:noWrap/>
          </w:tcPr>
          <w:p w:rsidR="00E739E4" w:rsidRPr="00E739E4"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E739E4">
              <w:rPr>
                <w:rFonts w:cs="Calibri"/>
                <w:color w:val="000000"/>
                <w:sz w:val="16"/>
                <w:szCs w:val="16"/>
              </w:rPr>
              <w:t>AIC = 1 655</w:t>
            </w:r>
          </w:p>
        </w:tc>
      </w:tr>
    </w:tbl>
    <w:p w:rsidR="00E739E4" w:rsidRPr="002559D6" w:rsidRDefault="00E739E4" w:rsidP="00E739E4">
      <w:pPr>
        <w:rPr>
          <w:sz w:val="16"/>
          <w:szCs w:val="16"/>
        </w:rPr>
      </w:pPr>
      <w:r w:rsidRPr="002559D6">
        <w:t>Ovanst</w:t>
      </w:r>
      <w:r>
        <w:t>ående modell är en ARIMA-modell.</w:t>
      </w:r>
    </w:p>
    <w:p w:rsidR="00E739E4" w:rsidRPr="002559D6" w:rsidRDefault="00E739E4" w:rsidP="00E2628B">
      <w:pPr>
        <w:pStyle w:val="Rubrik2"/>
        <w:rPr>
          <w:sz w:val="16"/>
          <w:szCs w:val="16"/>
          <w:highlight w:val="red"/>
        </w:rPr>
      </w:pPr>
      <w:r w:rsidRPr="002559D6">
        <w:t xml:space="preserve">Prognosmodeller över medelantalet </w:t>
      </w:r>
      <w:r>
        <w:t>fängelsedömda</w:t>
      </w:r>
    </w:p>
    <w:p w:rsidR="00E739E4" w:rsidRDefault="00E739E4" w:rsidP="00E739E4">
      <w:r>
        <w:t>Prognoser över antalet fängelsedömda görs med två olika modeller uppdelade på kort respektive lång sikt.</w:t>
      </w:r>
    </w:p>
    <w:p w:rsidR="00894A14" w:rsidRPr="00894A14" w:rsidRDefault="00894A14" w:rsidP="00E739E4">
      <w:pPr>
        <w:rPr>
          <w:b/>
        </w:rPr>
      </w:pPr>
      <w:r w:rsidRPr="00894A14">
        <w:rPr>
          <w:rFonts w:cs="Calibri"/>
          <w:b/>
          <w:i/>
          <w:iCs/>
          <w:color w:val="000000"/>
          <w:sz w:val="16"/>
          <w:szCs w:val="16"/>
        </w:rPr>
        <w:t>Tabell 2</w:t>
      </w:r>
      <w:r w:rsidR="00C128AF">
        <w:rPr>
          <w:rFonts w:cs="Calibri"/>
          <w:b/>
          <w:i/>
          <w:iCs/>
          <w:color w:val="000000"/>
          <w:sz w:val="16"/>
          <w:szCs w:val="16"/>
        </w:rPr>
        <w:t>6</w:t>
      </w:r>
      <w:r w:rsidRPr="00894A14">
        <w:rPr>
          <w:rFonts w:cs="Calibri"/>
          <w:b/>
          <w:i/>
          <w:iCs/>
          <w:color w:val="000000"/>
          <w:sz w:val="16"/>
          <w:szCs w:val="16"/>
        </w:rPr>
        <w:t>. Modell över Fängelsedömda (1996m1–2013m12).</w:t>
      </w:r>
    </w:p>
    <w:tbl>
      <w:tblPr>
        <w:tblStyle w:val="Ljuslista-dekorfrg3"/>
        <w:tblW w:w="6912" w:type="dxa"/>
        <w:tblLook w:val="04A0" w:firstRow="1" w:lastRow="0" w:firstColumn="1" w:lastColumn="0" w:noHBand="0" w:noVBand="1"/>
      </w:tblPr>
      <w:tblGrid>
        <w:gridCol w:w="2221"/>
        <w:gridCol w:w="3182"/>
        <w:gridCol w:w="1509"/>
      </w:tblGrid>
      <w:tr w:rsidR="00E739E4" w:rsidRPr="00894A14" w:rsidTr="00A145A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894A14" w:rsidRDefault="00E739E4" w:rsidP="00E739E4">
            <w:pPr>
              <w:rPr>
                <w:rFonts w:cs="Calibri"/>
                <w:color w:val="000000"/>
                <w:sz w:val="16"/>
                <w:szCs w:val="16"/>
              </w:rPr>
            </w:pPr>
            <w:r w:rsidRPr="00894A14">
              <w:rPr>
                <w:rFonts w:cs="Calibri"/>
                <w:color w:val="000000"/>
                <w:sz w:val="16"/>
                <w:szCs w:val="16"/>
              </w:rPr>
              <w:t>Parameter</w:t>
            </w:r>
          </w:p>
        </w:tc>
        <w:tc>
          <w:tcPr>
            <w:tcW w:w="3182" w:type="dxa"/>
            <w:noWrap/>
            <w:hideMark/>
          </w:tcPr>
          <w:p w:rsidR="00E739E4" w:rsidRPr="00894A14" w:rsidRDefault="00E739E4" w:rsidP="00E739E4">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894A14">
              <w:rPr>
                <w:rFonts w:cs="Calibri"/>
                <w:color w:val="000000"/>
                <w:sz w:val="16"/>
                <w:szCs w:val="16"/>
              </w:rPr>
              <w:t>Koefficient</w:t>
            </w:r>
          </w:p>
        </w:tc>
        <w:tc>
          <w:tcPr>
            <w:tcW w:w="1509" w:type="dxa"/>
            <w:noWrap/>
            <w:hideMark/>
          </w:tcPr>
          <w:p w:rsidR="00E739E4" w:rsidRPr="00894A14" w:rsidRDefault="00E739E4" w:rsidP="00E739E4">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894A14">
              <w:rPr>
                <w:rFonts w:cs="Calibri"/>
                <w:color w:val="000000"/>
                <w:sz w:val="16"/>
                <w:szCs w:val="16"/>
              </w:rPr>
              <w:t>p-värde</w:t>
            </w:r>
          </w:p>
        </w:tc>
      </w:tr>
      <w:tr w:rsidR="00E739E4" w:rsidRPr="002559D6" w:rsidTr="00A145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894A14" w:rsidRDefault="00E739E4" w:rsidP="00E739E4">
            <w:pPr>
              <w:rPr>
                <w:rFonts w:cs="Calibri"/>
                <w:b w:val="0"/>
                <w:color w:val="000000"/>
                <w:sz w:val="16"/>
                <w:szCs w:val="16"/>
              </w:rPr>
            </w:pPr>
            <w:r w:rsidRPr="00894A14">
              <w:rPr>
                <w:rFonts w:cs="Calibri"/>
                <w:b w:val="0"/>
                <w:color w:val="000000"/>
                <w:sz w:val="16"/>
                <w:szCs w:val="16"/>
              </w:rPr>
              <w:t>AR(1)</w:t>
            </w:r>
          </w:p>
        </w:tc>
        <w:tc>
          <w:tcPr>
            <w:tcW w:w="3182" w:type="dxa"/>
            <w:noWrap/>
          </w:tcPr>
          <w:p w:rsidR="00E739E4" w:rsidRPr="002559D6" w:rsidRDefault="00DD75BD"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 xml:space="preserve">– </w:t>
            </w:r>
            <w:r w:rsidR="00E739E4">
              <w:rPr>
                <w:rFonts w:cs="Calibri"/>
                <w:color w:val="000000"/>
                <w:sz w:val="16"/>
                <w:szCs w:val="16"/>
              </w:rPr>
              <w:t>1,748</w:t>
            </w:r>
          </w:p>
        </w:tc>
        <w:tc>
          <w:tcPr>
            <w:tcW w:w="1509" w:type="dxa"/>
            <w:noWrap/>
          </w:tcPr>
          <w:p w:rsidR="00E739E4" w:rsidRPr="002559D6" w:rsidRDefault="00E739E4" w:rsidP="00894A1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&lt;</w:t>
            </w:r>
            <w:r w:rsidR="00080BE6">
              <w:rPr>
                <w:rFonts w:cs="Calibri"/>
                <w:color w:val="000000"/>
                <w:sz w:val="16"/>
                <w:szCs w:val="16"/>
              </w:rPr>
              <w:t xml:space="preserve"> </w:t>
            </w:r>
            <w:r w:rsidR="00894A14">
              <w:rPr>
                <w:rFonts w:cs="Calibri"/>
                <w:color w:val="000000"/>
                <w:sz w:val="16"/>
                <w:szCs w:val="16"/>
              </w:rPr>
              <w:t>0,</w:t>
            </w:r>
            <w:r>
              <w:rPr>
                <w:rFonts w:cs="Calibri"/>
                <w:color w:val="000000"/>
                <w:sz w:val="16"/>
                <w:szCs w:val="16"/>
              </w:rPr>
              <w:t>001</w:t>
            </w:r>
          </w:p>
        </w:tc>
      </w:tr>
      <w:tr w:rsidR="00E739E4" w:rsidRPr="002559D6" w:rsidTr="00A145AA">
        <w:trPr>
          <w:trHeight w:val="300"/>
        </w:trPr>
        <w:tc>
          <w:tcPr>
            <w:tcW w:w="2221" w:type="dxa"/>
            <w:noWrap/>
          </w:tcPr>
          <w:p w:rsidR="00E739E4" w:rsidRPr="00894A14" w:rsidRDefault="00E739E4" w:rsidP="00E739E4">
            <w:pPr>
              <w:cnfStyle w:val="001000000000" w:firstRow="0" w:lastRow="0" w:firstColumn="1" w:lastColumn="0" w:oddVBand="0" w:evenVBand="0" w:oddHBand="0" w:evenHBand="0" w:firstRowFirstColumn="0" w:firstRowLastColumn="0" w:lastRowFirstColumn="0" w:lastRowLastColumn="0"/>
              <w:rPr>
                <w:rFonts w:cs="Calibri"/>
                <w:b w:val="0"/>
                <w:color w:val="000000"/>
                <w:sz w:val="16"/>
                <w:szCs w:val="16"/>
              </w:rPr>
            </w:pPr>
            <w:r w:rsidRPr="00894A14">
              <w:rPr>
                <w:rFonts w:cs="Calibri"/>
                <w:b w:val="0"/>
                <w:color w:val="000000"/>
                <w:sz w:val="16"/>
                <w:szCs w:val="16"/>
              </w:rPr>
              <w:t>AR(2)</w:t>
            </w:r>
          </w:p>
        </w:tc>
        <w:tc>
          <w:tcPr>
            <w:tcW w:w="3182" w:type="dxa"/>
            <w:noWrap/>
          </w:tcPr>
          <w:p w:rsidR="00E739E4" w:rsidRPr="002559D6" w:rsidRDefault="00DD75BD" w:rsidP="00E739E4">
            <w:pPr>
              <w:jc w:val="right"/>
              <w:rPr>
                <w:rFonts w:cs="Calibri"/>
                <w:color w:val="000000"/>
                <w:sz w:val="16"/>
                <w:szCs w:val="16"/>
              </w:rPr>
            </w:pPr>
            <w:r>
              <w:rPr>
                <w:rFonts w:cs="Calibri"/>
                <w:color w:val="000000"/>
                <w:sz w:val="16"/>
                <w:szCs w:val="16"/>
              </w:rPr>
              <w:t xml:space="preserve">– </w:t>
            </w:r>
            <w:r w:rsidR="00E739E4">
              <w:rPr>
                <w:rFonts w:cs="Calibri"/>
                <w:color w:val="000000"/>
                <w:sz w:val="16"/>
                <w:szCs w:val="16"/>
              </w:rPr>
              <w:t>0,798</w:t>
            </w:r>
          </w:p>
        </w:tc>
        <w:tc>
          <w:tcPr>
            <w:tcW w:w="1509" w:type="dxa"/>
            <w:noWrap/>
          </w:tcPr>
          <w:p w:rsidR="00E739E4" w:rsidRPr="002559D6" w:rsidRDefault="00E739E4" w:rsidP="00894A14">
            <w:pPr>
              <w:jc w:val="right"/>
              <w:rPr>
                <w:rFonts w:cs="Calibri"/>
                <w:color w:val="000000"/>
                <w:sz w:val="16"/>
                <w:szCs w:val="16"/>
              </w:rPr>
            </w:pPr>
            <w:r>
              <w:rPr>
                <w:rFonts w:cs="Calibri"/>
                <w:color w:val="000000"/>
                <w:sz w:val="16"/>
                <w:szCs w:val="16"/>
              </w:rPr>
              <w:t>&lt;</w:t>
            </w:r>
            <w:r w:rsidR="00080BE6">
              <w:rPr>
                <w:rFonts w:cs="Calibri"/>
                <w:color w:val="000000"/>
                <w:sz w:val="16"/>
                <w:szCs w:val="16"/>
              </w:rPr>
              <w:t xml:space="preserve"> </w:t>
            </w:r>
            <w:r w:rsidR="00894A14">
              <w:rPr>
                <w:rFonts w:cs="Calibri"/>
                <w:color w:val="000000"/>
                <w:sz w:val="16"/>
                <w:szCs w:val="16"/>
              </w:rPr>
              <w:t>0</w:t>
            </w:r>
            <w:r>
              <w:rPr>
                <w:rFonts w:cs="Calibri"/>
                <w:color w:val="000000"/>
                <w:sz w:val="16"/>
                <w:szCs w:val="16"/>
              </w:rPr>
              <w:t>,001</w:t>
            </w:r>
          </w:p>
        </w:tc>
      </w:tr>
      <w:tr w:rsidR="00E739E4" w:rsidRPr="002559D6" w:rsidTr="00A145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894A14" w:rsidRDefault="00E739E4" w:rsidP="00E739E4">
            <w:pPr>
              <w:rPr>
                <w:rFonts w:cs="Calibri"/>
                <w:b w:val="0"/>
                <w:color w:val="000000"/>
                <w:sz w:val="16"/>
                <w:szCs w:val="16"/>
              </w:rPr>
            </w:pPr>
            <w:r w:rsidRPr="00894A14">
              <w:rPr>
                <w:rFonts w:cs="Calibri"/>
                <w:b w:val="0"/>
                <w:color w:val="000000"/>
                <w:sz w:val="16"/>
                <w:szCs w:val="16"/>
              </w:rPr>
              <w:t>MA (1)</w:t>
            </w:r>
          </w:p>
        </w:tc>
        <w:tc>
          <w:tcPr>
            <w:tcW w:w="3182" w:type="dxa"/>
            <w:noWrap/>
          </w:tcPr>
          <w:p w:rsidR="00E739E4" w:rsidRPr="002559D6" w:rsidRDefault="00DD75BD"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 xml:space="preserve">– </w:t>
            </w:r>
            <w:r w:rsidR="00E739E4">
              <w:rPr>
                <w:rFonts w:cs="Calibri"/>
                <w:color w:val="000000"/>
                <w:sz w:val="16"/>
                <w:szCs w:val="16"/>
              </w:rPr>
              <w:t>1,848</w:t>
            </w:r>
          </w:p>
        </w:tc>
        <w:tc>
          <w:tcPr>
            <w:tcW w:w="1509" w:type="dxa"/>
            <w:noWrap/>
          </w:tcPr>
          <w:p w:rsidR="00E739E4" w:rsidRPr="002559D6" w:rsidRDefault="00E739E4" w:rsidP="00894A1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&lt;</w:t>
            </w:r>
            <w:r w:rsidR="00080BE6">
              <w:rPr>
                <w:rFonts w:cs="Calibri"/>
                <w:color w:val="000000"/>
                <w:sz w:val="16"/>
                <w:szCs w:val="16"/>
              </w:rPr>
              <w:t xml:space="preserve"> </w:t>
            </w:r>
            <w:r w:rsidR="00894A14">
              <w:rPr>
                <w:rFonts w:cs="Calibri"/>
                <w:color w:val="000000"/>
                <w:sz w:val="16"/>
                <w:szCs w:val="16"/>
              </w:rPr>
              <w:t>0</w:t>
            </w:r>
            <w:r>
              <w:rPr>
                <w:rFonts w:cs="Calibri"/>
                <w:color w:val="000000"/>
                <w:sz w:val="16"/>
                <w:szCs w:val="16"/>
              </w:rPr>
              <w:t>,001</w:t>
            </w:r>
          </w:p>
        </w:tc>
      </w:tr>
      <w:tr w:rsidR="00E739E4" w:rsidRPr="002559D6" w:rsidTr="00A145AA">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894A14" w:rsidRDefault="00E739E4" w:rsidP="00E739E4">
            <w:pPr>
              <w:rPr>
                <w:rFonts w:cs="Calibri"/>
                <w:b w:val="0"/>
                <w:color w:val="000000"/>
                <w:sz w:val="16"/>
                <w:szCs w:val="16"/>
              </w:rPr>
            </w:pPr>
            <w:r w:rsidRPr="00894A14">
              <w:rPr>
                <w:rFonts w:cs="Calibri"/>
                <w:b w:val="0"/>
                <w:color w:val="000000"/>
                <w:sz w:val="16"/>
                <w:szCs w:val="16"/>
              </w:rPr>
              <w:t>MA (2)</w:t>
            </w:r>
          </w:p>
        </w:tc>
        <w:tc>
          <w:tcPr>
            <w:tcW w:w="3182" w:type="dxa"/>
            <w:noWrap/>
          </w:tcPr>
          <w:p w:rsidR="00E739E4" w:rsidRPr="002559D6" w:rsidRDefault="00DD75BD" w:rsidP="00E739E4">
            <w:pPr>
              <w:ind w:left="720"/>
              <w:contextualSpacing/>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 xml:space="preserve">– </w:t>
            </w:r>
            <w:r w:rsidR="00E739E4">
              <w:rPr>
                <w:rFonts w:cs="Calibri"/>
                <w:color w:val="000000"/>
                <w:sz w:val="16"/>
                <w:szCs w:val="16"/>
              </w:rPr>
              <w:t>0,915</w:t>
            </w:r>
          </w:p>
        </w:tc>
        <w:tc>
          <w:tcPr>
            <w:tcW w:w="1509" w:type="dxa"/>
            <w:noWrap/>
          </w:tcPr>
          <w:p w:rsidR="00E739E4" w:rsidRPr="002559D6" w:rsidRDefault="00E739E4" w:rsidP="00894A1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&lt;</w:t>
            </w:r>
            <w:r w:rsidR="00080BE6">
              <w:rPr>
                <w:rFonts w:cs="Calibri"/>
                <w:color w:val="000000"/>
                <w:sz w:val="16"/>
                <w:szCs w:val="16"/>
              </w:rPr>
              <w:t xml:space="preserve"> </w:t>
            </w:r>
            <w:r w:rsidR="00894A14">
              <w:rPr>
                <w:rFonts w:cs="Calibri"/>
                <w:color w:val="000000"/>
                <w:sz w:val="16"/>
                <w:szCs w:val="16"/>
              </w:rPr>
              <w:t>0</w:t>
            </w:r>
            <w:r>
              <w:rPr>
                <w:rFonts w:cs="Calibri"/>
                <w:color w:val="000000"/>
                <w:sz w:val="16"/>
                <w:szCs w:val="16"/>
              </w:rPr>
              <w:t>,001</w:t>
            </w:r>
          </w:p>
        </w:tc>
      </w:tr>
      <w:tr w:rsidR="00E739E4" w:rsidRPr="002559D6" w:rsidTr="00A145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894A14" w:rsidRDefault="00E739E4" w:rsidP="00E739E4">
            <w:pPr>
              <w:rPr>
                <w:rFonts w:cs="Calibri"/>
                <w:b w:val="0"/>
                <w:color w:val="000000"/>
                <w:sz w:val="16"/>
                <w:szCs w:val="16"/>
              </w:rPr>
            </w:pPr>
            <w:r w:rsidRPr="00894A14">
              <w:rPr>
                <w:rFonts w:cs="Calibri"/>
                <w:b w:val="0"/>
                <w:color w:val="000000"/>
                <w:sz w:val="16"/>
                <w:szCs w:val="16"/>
              </w:rPr>
              <w:t>SMA (1)</w:t>
            </w:r>
          </w:p>
        </w:tc>
        <w:tc>
          <w:tcPr>
            <w:tcW w:w="3182" w:type="dxa"/>
            <w:noWrap/>
          </w:tcPr>
          <w:p w:rsidR="00E739E4" w:rsidRPr="002559D6"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0,765</w:t>
            </w:r>
          </w:p>
        </w:tc>
        <w:tc>
          <w:tcPr>
            <w:tcW w:w="1509" w:type="dxa"/>
            <w:noWrap/>
          </w:tcPr>
          <w:p w:rsidR="00E739E4" w:rsidRPr="002559D6" w:rsidRDefault="00E739E4" w:rsidP="00894A1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&lt;</w:t>
            </w:r>
            <w:r w:rsidR="00080BE6">
              <w:rPr>
                <w:rFonts w:cs="Calibri"/>
                <w:color w:val="000000"/>
                <w:sz w:val="16"/>
                <w:szCs w:val="16"/>
              </w:rPr>
              <w:t xml:space="preserve"> </w:t>
            </w:r>
            <w:r w:rsidR="00894A14">
              <w:rPr>
                <w:rFonts w:cs="Calibri"/>
                <w:color w:val="000000"/>
                <w:sz w:val="16"/>
                <w:szCs w:val="16"/>
              </w:rPr>
              <w:t>0</w:t>
            </w:r>
            <w:r>
              <w:rPr>
                <w:rFonts w:cs="Calibri"/>
                <w:color w:val="000000"/>
                <w:sz w:val="16"/>
                <w:szCs w:val="16"/>
              </w:rPr>
              <w:t>,001</w:t>
            </w:r>
          </w:p>
        </w:tc>
      </w:tr>
      <w:tr w:rsidR="00E739E4" w:rsidRPr="002559D6" w:rsidTr="00A145AA">
        <w:trPr>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894A14" w:rsidRDefault="00E739E4" w:rsidP="00E739E4">
            <w:pPr>
              <w:rPr>
                <w:rFonts w:cs="Calibri"/>
                <w:b w:val="0"/>
                <w:color w:val="000000"/>
                <w:sz w:val="16"/>
                <w:szCs w:val="16"/>
              </w:rPr>
            </w:pPr>
            <w:r w:rsidRPr="00894A14">
              <w:rPr>
                <w:rFonts w:cs="Calibri"/>
                <w:b w:val="0"/>
                <w:color w:val="000000"/>
                <w:sz w:val="16"/>
                <w:szCs w:val="16"/>
              </w:rPr>
              <w:t> MAPE (månad) = 1,22</w:t>
            </w:r>
          </w:p>
        </w:tc>
        <w:tc>
          <w:tcPr>
            <w:tcW w:w="3182" w:type="dxa"/>
            <w:noWrap/>
          </w:tcPr>
          <w:p w:rsidR="00E739E4" w:rsidRPr="002559D6"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 xml:space="preserve">MPE (månad) = </w:t>
            </w:r>
            <w:r>
              <w:rPr>
                <w:rFonts w:cs="Calibri"/>
                <w:color w:val="000000"/>
                <w:sz w:val="16"/>
                <w:szCs w:val="16"/>
              </w:rPr>
              <w:t>0,11</w:t>
            </w:r>
          </w:p>
        </w:tc>
        <w:tc>
          <w:tcPr>
            <w:tcW w:w="1509" w:type="dxa"/>
            <w:noWrap/>
          </w:tcPr>
          <w:p w:rsidR="00E739E4" w:rsidRPr="002559D6"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AIC = 1 730</w:t>
            </w:r>
          </w:p>
        </w:tc>
      </w:tr>
    </w:tbl>
    <w:p w:rsidR="00C128AF" w:rsidRDefault="00E739E4" w:rsidP="00E739E4">
      <w:r>
        <w:t xml:space="preserve">Ovanstående modell är en ARIMA-modell för prognoser på </w:t>
      </w:r>
      <w:r>
        <w:rPr>
          <w:i/>
        </w:rPr>
        <w:t>ett</w:t>
      </w:r>
      <w:r w:rsidRPr="002559D6">
        <w:rPr>
          <w:i/>
        </w:rPr>
        <w:t xml:space="preserve"> och </w:t>
      </w:r>
      <w:r>
        <w:rPr>
          <w:i/>
        </w:rPr>
        <w:t>två</w:t>
      </w:r>
      <w:r w:rsidRPr="002559D6">
        <w:rPr>
          <w:i/>
        </w:rPr>
        <w:t xml:space="preserve"> års sikt</w:t>
      </w:r>
      <w:r>
        <w:t>.</w:t>
      </w:r>
    </w:p>
    <w:p w:rsidR="00C128AF" w:rsidRDefault="00C128AF" w:rsidP="00C128AF">
      <w:r>
        <w:br w:type="page"/>
      </w:r>
    </w:p>
    <w:p w:rsidR="00E739E4" w:rsidRDefault="00E739E4" w:rsidP="00E739E4"/>
    <w:p w:rsidR="00894A14" w:rsidRPr="00894A14" w:rsidRDefault="00894A14" w:rsidP="00E739E4">
      <w:pPr>
        <w:rPr>
          <w:rFonts w:cs="Calibri"/>
          <w:b/>
          <w:i/>
          <w:iCs/>
          <w:color w:val="000000"/>
          <w:sz w:val="16"/>
          <w:szCs w:val="16"/>
        </w:rPr>
      </w:pPr>
      <w:r w:rsidRPr="00894A14">
        <w:rPr>
          <w:rFonts w:cs="Calibri"/>
          <w:b/>
          <w:i/>
          <w:iCs/>
          <w:color w:val="000000"/>
          <w:sz w:val="16"/>
          <w:szCs w:val="16"/>
        </w:rPr>
        <w:t xml:space="preserve">Tabell </w:t>
      </w:r>
      <w:r w:rsidR="00C128AF">
        <w:rPr>
          <w:rFonts w:cs="Calibri"/>
          <w:b/>
          <w:i/>
          <w:iCs/>
          <w:color w:val="000000"/>
          <w:sz w:val="16"/>
          <w:szCs w:val="16"/>
        </w:rPr>
        <w:t>27</w:t>
      </w:r>
      <w:r w:rsidRPr="00894A14">
        <w:rPr>
          <w:rFonts w:cs="Calibri"/>
          <w:b/>
          <w:i/>
          <w:iCs/>
          <w:color w:val="000000"/>
          <w:sz w:val="16"/>
          <w:szCs w:val="16"/>
        </w:rPr>
        <w:t>. Modell för Fängelsedömda (2004–2013). Används för prognos på 3-4 års sikt.</w:t>
      </w:r>
    </w:p>
    <w:tbl>
      <w:tblPr>
        <w:tblStyle w:val="Ljuslista-dekorfrg3"/>
        <w:tblW w:w="6912" w:type="dxa"/>
        <w:tblLook w:val="04A0" w:firstRow="1" w:lastRow="0" w:firstColumn="1" w:lastColumn="0" w:noHBand="0" w:noVBand="1"/>
      </w:tblPr>
      <w:tblGrid>
        <w:gridCol w:w="2221"/>
        <w:gridCol w:w="2423"/>
        <w:gridCol w:w="2268"/>
      </w:tblGrid>
      <w:tr w:rsidR="00E739E4" w:rsidRPr="002559D6" w:rsidTr="00080B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559D6" w:rsidRDefault="00E739E4" w:rsidP="00E739E4">
            <w:pPr>
              <w:rPr>
                <w:rFonts w:cs="Calibri"/>
                <w:color w:val="000000"/>
                <w:sz w:val="16"/>
                <w:szCs w:val="16"/>
              </w:rPr>
            </w:pPr>
            <w:r w:rsidRPr="002559D6">
              <w:rPr>
                <w:rFonts w:cs="Calibri"/>
                <w:color w:val="000000"/>
                <w:sz w:val="16"/>
                <w:szCs w:val="16"/>
              </w:rPr>
              <w:lastRenderedPageBreak/>
              <w:t>Parameter</w:t>
            </w:r>
          </w:p>
        </w:tc>
        <w:tc>
          <w:tcPr>
            <w:tcW w:w="2423" w:type="dxa"/>
            <w:noWrap/>
            <w:hideMark/>
          </w:tcPr>
          <w:p w:rsidR="00E739E4" w:rsidRPr="002559D6" w:rsidRDefault="00E739E4" w:rsidP="00080BE6">
            <w:pPr>
              <w:ind w:right="-108"/>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Koefficient</w:t>
            </w:r>
          </w:p>
        </w:tc>
        <w:tc>
          <w:tcPr>
            <w:tcW w:w="2268" w:type="dxa"/>
            <w:noWrap/>
            <w:hideMark/>
          </w:tcPr>
          <w:p w:rsidR="00E739E4" w:rsidRPr="002559D6" w:rsidRDefault="00E739E4" w:rsidP="00E739E4">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p-värde</w:t>
            </w:r>
          </w:p>
        </w:tc>
      </w:tr>
      <w:tr w:rsidR="00E739E4" w:rsidRPr="00080BE6" w:rsidTr="00080B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080BE6" w:rsidRDefault="00E739E4" w:rsidP="00080BE6">
            <w:pPr>
              <w:rPr>
                <w:b w:val="0"/>
                <w:sz w:val="16"/>
                <w:szCs w:val="16"/>
              </w:rPr>
            </w:pPr>
            <w:r w:rsidRPr="00080BE6">
              <w:rPr>
                <w:b w:val="0"/>
                <w:sz w:val="16"/>
                <w:szCs w:val="16"/>
              </w:rPr>
              <w:t>Intercept</w:t>
            </w:r>
          </w:p>
        </w:tc>
        <w:tc>
          <w:tcPr>
            <w:tcW w:w="2423" w:type="dxa"/>
            <w:noWrap/>
          </w:tcPr>
          <w:p w:rsidR="00E739E4" w:rsidRPr="00080BE6" w:rsidRDefault="00E739E4" w:rsidP="00080BE6">
            <w:pPr>
              <w:jc w:val="right"/>
              <w:cnfStyle w:val="000000100000" w:firstRow="0" w:lastRow="0" w:firstColumn="0" w:lastColumn="0" w:oddVBand="0" w:evenVBand="0" w:oddHBand="1" w:evenHBand="0" w:firstRowFirstColumn="0" w:firstRowLastColumn="0" w:lastRowFirstColumn="0" w:lastRowLastColumn="0"/>
              <w:rPr>
                <w:sz w:val="16"/>
                <w:szCs w:val="16"/>
              </w:rPr>
            </w:pPr>
            <w:r w:rsidRPr="00080BE6">
              <w:rPr>
                <w:sz w:val="16"/>
                <w:szCs w:val="16"/>
              </w:rPr>
              <w:t>5</w:t>
            </w:r>
            <w:r w:rsidR="00080BE6" w:rsidRPr="00080BE6">
              <w:rPr>
                <w:sz w:val="16"/>
                <w:szCs w:val="16"/>
              </w:rPr>
              <w:t xml:space="preserve"> </w:t>
            </w:r>
            <w:r w:rsidRPr="00080BE6">
              <w:rPr>
                <w:sz w:val="16"/>
                <w:szCs w:val="16"/>
              </w:rPr>
              <w:t>414</w:t>
            </w:r>
          </w:p>
        </w:tc>
        <w:tc>
          <w:tcPr>
            <w:tcW w:w="2268" w:type="dxa"/>
            <w:noWrap/>
          </w:tcPr>
          <w:p w:rsidR="00E739E4" w:rsidRPr="00080BE6" w:rsidRDefault="00E739E4" w:rsidP="00080BE6">
            <w:pPr>
              <w:jc w:val="right"/>
              <w:cnfStyle w:val="000000100000" w:firstRow="0" w:lastRow="0" w:firstColumn="0" w:lastColumn="0" w:oddVBand="0" w:evenVBand="0" w:oddHBand="1" w:evenHBand="0" w:firstRowFirstColumn="0" w:firstRowLastColumn="0" w:lastRowFirstColumn="0" w:lastRowLastColumn="0"/>
              <w:rPr>
                <w:sz w:val="16"/>
                <w:szCs w:val="16"/>
              </w:rPr>
            </w:pPr>
            <w:r w:rsidRPr="00080BE6">
              <w:rPr>
                <w:sz w:val="16"/>
                <w:szCs w:val="16"/>
              </w:rPr>
              <w:t>&lt;</w:t>
            </w:r>
            <w:r w:rsidR="00080BE6" w:rsidRPr="00080BE6">
              <w:rPr>
                <w:sz w:val="16"/>
                <w:szCs w:val="16"/>
              </w:rPr>
              <w:t xml:space="preserve"> </w:t>
            </w:r>
            <w:r w:rsidR="00894A14" w:rsidRPr="00080BE6">
              <w:rPr>
                <w:sz w:val="16"/>
                <w:szCs w:val="16"/>
              </w:rPr>
              <w:t>0</w:t>
            </w:r>
            <w:r w:rsidRPr="00080BE6">
              <w:rPr>
                <w:sz w:val="16"/>
                <w:szCs w:val="16"/>
              </w:rPr>
              <w:t>,</w:t>
            </w:r>
            <w:r w:rsidR="00894A14" w:rsidRPr="00080BE6">
              <w:rPr>
                <w:sz w:val="16"/>
                <w:szCs w:val="16"/>
              </w:rPr>
              <w:t>0</w:t>
            </w:r>
            <w:r w:rsidRPr="00080BE6">
              <w:rPr>
                <w:sz w:val="16"/>
                <w:szCs w:val="16"/>
              </w:rPr>
              <w:t>01</w:t>
            </w:r>
          </w:p>
        </w:tc>
      </w:tr>
      <w:tr w:rsidR="00E739E4" w:rsidRPr="00080BE6" w:rsidTr="00080BE6">
        <w:trPr>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080BE6" w:rsidRDefault="00E739E4" w:rsidP="00080BE6">
            <w:pPr>
              <w:rPr>
                <w:b w:val="0"/>
                <w:sz w:val="16"/>
                <w:szCs w:val="16"/>
              </w:rPr>
            </w:pPr>
            <w:r w:rsidRPr="00080BE6">
              <w:rPr>
                <w:b w:val="0"/>
                <w:sz w:val="16"/>
                <w:szCs w:val="16"/>
              </w:rPr>
              <w:t>Tid</w:t>
            </w:r>
          </w:p>
        </w:tc>
        <w:tc>
          <w:tcPr>
            <w:tcW w:w="2423" w:type="dxa"/>
            <w:noWrap/>
          </w:tcPr>
          <w:p w:rsidR="00E739E4" w:rsidRPr="00080BE6" w:rsidRDefault="00080BE6" w:rsidP="00080BE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101,4</w:t>
            </w:r>
          </w:p>
        </w:tc>
        <w:tc>
          <w:tcPr>
            <w:tcW w:w="2268" w:type="dxa"/>
            <w:noWrap/>
          </w:tcPr>
          <w:p w:rsidR="00E739E4" w:rsidRPr="00080BE6" w:rsidRDefault="00E739E4" w:rsidP="00080BE6">
            <w:pPr>
              <w:jc w:val="right"/>
              <w:cnfStyle w:val="000000000000" w:firstRow="0" w:lastRow="0" w:firstColumn="0" w:lastColumn="0" w:oddVBand="0" w:evenVBand="0" w:oddHBand="0" w:evenHBand="0" w:firstRowFirstColumn="0" w:firstRowLastColumn="0" w:lastRowFirstColumn="0" w:lastRowLastColumn="0"/>
              <w:rPr>
                <w:sz w:val="16"/>
                <w:szCs w:val="16"/>
              </w:rPr>
            </w:pPr>
            <w:r w:rsidRPr="00080BE6">
              <w:rPr>
                <w:sz w:val="16"/>
                <w:szCs w:val="16"/>
              </w:rPr>
              <w:t>&lt;</w:t>
            </w:r>
            <w:r w:rsidR="00080BE6" w:rsidRPr="00080BE6">
              <w:rPr>
                <w:sz w:val="16"/>
                <w:szCs w:val="16"/>
              </w:rPr>
              <w:t xml:space="preserve"> </w:t>
            </w:r>
            <w:r w:rsidR="00894A14" w:rsidRPr="00080BE6">
              <w:rPr>
                <w:sz w:val="16"/>
                <w:szCs w:val="16"/>
              </w:rPr>
              <w:t>0</w:t>
            </w:r>
            <w:r w:rsidRPr="00080BE6">
              <w:rPr>
                <w:sz w:val="16"/>
                <w:szCs w:val="16"/>
              </w:rPr>
              <w:t>,001</w:t>
            </w:r>
          </w:p>
        </w:tc>
      </w:tr>
      <w:tr w:rsidR="00E739E4" w:rsidRPr="00080BE6" w:rsidTr="00080BE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080BE6" w:rsidRDefault="00E739E4" w:rsidP="00080BE6">
            <w:pPr>
              <w:rPr>
                <w:b w:val="0"/>
                <w:sz w:val="16"/>
                <w:szCs w:val="16"/>
              </w:rPr>
            </w:pPr>
            <w:r w:rsidRPr="00080BE6">
              <w:rPr>
                <w:b w:val="0"/>
                <w:sz w:val="16"/>
                <w:szCs w:val="16"/>
              </w:rPr>
              <w:t> MAPE (månad) = 1,89</w:t>
            </w:r>
          </w:p>
        </w:tc>
        <w:tc>
          <w:tcPr>
            <w:tcW w:w="2423" w:type="dxa"/>
            <w:noWrap/>
            <w:hideMark/>
          </w:tcPr>
          <w:p w:rsidR="00E739E4" w:rsidRPr="00080BE6" w:rsidRDefault="00E739E4" w:rsidP="00080BE6">
            <w:pPr>
              <w:jc w:val="right"/>
              <w:cnfStyle w:val="000000100000" w:firstRow="0" w:lastRow="0" w:firstColumn="0" w:lastColumn="0" w:oddVBand="0" w:evenVBand="0" w:oddHBand="1" w:evenHBand="0" w:firstRowFirstColumn="0" w:firstRowLastColumn="0" w:lastRowFirstColumn="0" w:lastRowLastColumn="0"/>
              <w:rPr>
                <w:sz w:val="16"/>
                <w:szCs w:val="16"/>
              </w:rPr>
            </w:pPr>
            <w:r w:rsidRPr="00080BE6">
              <w:rPr>
                <w:sz w:val="16"/>
                <w:szCs w:val="16"/>
              </w:rPr>
              <w:t>  </w:t>
            </w:r>
            <m:oMath>
              <m:sSup>
                <m:sSupPr>
                  <m:ctrlPr>
                    <w:rPr>
                      <w:rFonts w:ascii="Cambria Math" w:hAnsi="Cambria Math"/>
                      <w:sz w:val="16"/>
                      <w:szCs w:val="16"/>
                    </w:rPr>
                  </m:ctrlPr>
                </m:sSupPr>
                <m:e>
                  <m:r>
                    <m:rPr>
                      <m:sty m:val="p"/>
                    </m:rPr>
                    <w:rPr>
                      <w:rFonts w:ascii="Cambria Math" w:hAnsi="Cambria Math"/>
                      <w:sz w:val="16"/>
                      <w:szCs w:val="16"/>
                    </w:rPr>
                    <m:t>R</m:t>
                  </m:r>
                </m:e>
                <m:sup>
                  <m:r>
                    <m:rPr>
                      <m:sty m:val="p"/>
                    </m:rPr>
                    <w:rPr>
                      <w:rFonts w:ascii="Cambria Math" w:hAnsi="Cambria Math"/>
                      <w:sz w:val="16"/>
                      <w:szCs w:val="16"/>
                    </w:rPr>
                    <m:t>2</m:t>
                  </m:r>
                </m:sup>
              </m:sSup>
              <m:r>
                <w:rPr>
                  <w:rFonts w:ascii="Cambria Math" w:hAnsi="Cambria Math"/>
                  <w:sz w:val="16"/>
                  <w:szCs w:val="16"/>
                </w:rPr>
                <m:t xml:space="preserve">  </m:t>
              </m:r>
            </m:oMath>
            <w:r w:rsidRPr="00080BE6">
              <w:rPr>
                <w:sz w:val="16"/>
                <w:szCs w:val="16"/>
              </w:rPr>
              <w:t>= 0,866</w:t>
            </w:r>
          </w:p>
        </w:tc>
        <w:tc>
          <w:tcPr>
            <w:tcW w:w="2268" w:type="dxa"/>
            <w:noWrap/>
            <w:hideMark/>
          </w:tcPr>
          <w:p w:rsidR="00E739E4" w:rsidRPr="00080BE6" w:rsidRDefault="00E739E4" w:rsidP="00080BE6">
            <w:pPr>
              <w:jc w:val="right"/>
              <w:cnfStyle w:val="000000100000" w:firstRow="0" w:lastRow="0" w:firstColumn="0" w:lastColumn="0" w:oddVBand="0" w:evenVBand="0" w:oddHBand="1" w:evenHBand="0" w:firstRowFirstColumn="0" w:firstRowLastColumn="0" w:lastRowFirstColumn="0" w:lastRowLastColumn="0"/>
              <w:rPr>
                <w:sz w:val="16"/>
                <w:szCs w:val="16"/>
              </w:rPr>
            </w:pPr>
            <w:r w:rsidRPr="00080BE6">
              <w:rPr>
                <w:sz w:val="16"/>
                <w:szCs w:val="16"/>
              </w:rPr>
              <w:t>Durbin-Watson = 1,02</w:t>
            </w:r>
          </w:p>
        </w:tc>
      </w:tr>
    </w:tbl>
    <w:p w:rsidR="002B630E" w:rsidRDefault="00E739E4" w:rsidP="002B630E">
      <w:r w:rsidRPr="002559D6">
        <w:t xml:space="preserve">Ovanstående modell är en linjär modell för prognoser på </w:t>
      </w:r>
      <w:r w:rsidRPr="002559D6">
        <w:rPr>
          <w:i/>
        </w:rPr>
        <w:t>tre och fyra års sikt</w:t>
      </w:r>
      <w:r w:rsidRPr="002559D6">
        <w:t>.</w:t>
      </w:r>
    </w:p>
    <w:p w:rsidR="002B630E" w:rsidRPr="002B630E" w:rsidRDefault="00E739E4" w:rsidP="00E2628B">
      <w:pPr>
        <w:pStyle w:val="Rubrik2"/>
      </w:pPr>
      <w:r w:rsidRPr="002559D6">
        <w:t>Prognosmodeller över medelan</w:t>
      </w:r>
      <w:r w:rsidR="00E2628B">
        <w:t>talet i olika frivårdspåföljder</w:t>
      </w:r>
    </w:p>
    <w:p w:rsidR="002B630E" w:rsidRPr="002B630E" w:rsidRDefault="002B630E" w:rsidP="002B630E">
      <w:pPr>
        <w:rPr>
          <w:b/>
        </w:rPr>
      </w:pPr>
      <w:r w:rsidRPr="002B630E">
        <w:rPr>
          <w:rFonts w:cs="Calibri"/>
          <w:b/>
          <w:i/>
          <w:iCs/>
          <w:color w:val="000000"/>
          <w:sz w:val="16"/>
          <w:szCs w:val="16"/>
        </w:rPr>
        <w:t xml:space="preserve">Tabell </w:t>
      </w:r>
      <w:r w:rsidR="00C128AF">
        <w:rPr>
          <w:rFonts w:cs="Calibri"/>
          <w:b/>
          <w:i/>
          <w:iCs/>
          <w:color w:val="000000"/>
          <w:sz w:val="16"/>
          <w:szCs w:val="16"/>
        </w:rPr>
        <w:t>28</w:t>
      </w:r>
      <w:r w:rsidRPr="002B630E">
        <w:rPr>
          <w:rFonts w:cs="Calibri"/>
          <w:b/>
          <w:i/>
          <w:iCs/>
          <w:color w:val="000000"/>
          <w:sz w:val="16"/>
          <w:szCs w:val="16"/>
        </w:rPr>
        <w:t>. Modell över Ren skyddstillsyn (1998m1–2013m12)</w:t>
      </w:r>
    </w:p>
    <w:tbl>
      <w:tblPr>
        <w:tblStyle w:val="Ljuslista-dekorfrg3"/>
        <w:tblW w:w="6912" w:type="dxa"/>
        <w:tblLook w:val="04A0" w:firstRow="1" w:lastRow="0" w:firstColumn="1" w:lastColumn="0" w:noHBand="0" w:noVBand="1"/>
      </w:tblPr>
      <w:tblGrid>
        <w:gridCol w:w="2221"/>
        <w:gridCol w:w="4691"/>
      </w:tblGrid>
      <w:tr w:rsidR="00E739E4" w:rsidRPr="002559D6" w:rsidTr="002B630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559D6" w:rsidRDefault="00E739E4" w:rsidP="00E739E4">
            <w:pPr>
              <w:rPr>
                <w:rFonts w:cs="Calibri"/>
                <w:color w:val="000000"/>
                <w:sz w:val="16"/>
                <w:szCs w:val="16"/>
              </w:rPr>
            </w:pPr>
            <w:r w:rsidRPr="002559D6">
              <w:rPr>
                <w:rFonts w:cs="Calibri"/>
                <w:color w:val="000000"/>
                <w:sz w:val="16"/>
                <w:szCs w:val="16"/>
              </w:rPr>
              <w:t>Parameter</w:t>
            </w:r>
          </w:p>
        </w:tc>
        <w:tc>
          <w:tcPr>
            <w:tcW w:w="4691" w:type="dxa"/>
            <w:noWrap/>
            <w:hideMark/>
          </w:tcPr>
          <w:p w:rsidR="00E739E4" w:rsidRPr="002559D6" w:rsidRDefault="00E739E4" w:rsidP="00E739E4">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Koefficient</w:t>
            </w:r>
          </w:p>
        </w:tc>
      </w:tr>
      <w:tr w:rsidR="00E739E4" w:rsidRPr="002B630E" w:rsidTr="002B6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B630E" w:rsidRDefault="00E739E4" w:rsidP="00E739E4">
            <w:pPr>
              <w:rPr>
                <w:rFonts w:cs="Calibri"/>
                <w:b w:val="0"/>
                <w:color w:val="000000"/>
                <w:sz w:val="16"/>
                <w:szCs w:val="16"/>
              </w:rPr>
            </w:pPr>
            <w:r w:rsidRPr="002B630E">
              <w:rPr>
                <w:rFonts w:cs="Calibri"/>
                <w:b w:val="0"/>
                <w:color w:val="000000"/>
                <w:sz w:val="16"/>
                <w:szCs w:val="16"/>
              </w:rPr>
              <w:t>Alpha</w:t>
            </w:r>
          </w:p>
        </w:tc>
        <w:tc>
          <w:tcPr>
            <w:tcW w:w="4691" w:type="dxa"/>
            <w:noWrap/>
            <w:hideMark/>
          </w:tcPr>
          <w:p w:rsidR="00E739E4" w:rsidRPr="002B630E"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2B630E">
              <w:rPr>
                <w:rFonts w:cs="Calibri"/>
                <w:color w:val="000000"/>
                <w:sz w:val="16"/>
                <w:szCs w:val="16"/>
              </w:rPr>
              <w:t>0,999</w:t>
            </w:r>
          </w:p>
        </w:tc>
      </w:tr>
      <w:tr w:rsidR="00E739E4" w:rsidRPr="002B630E" w:rsidTr="002B630E">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Beta</w:t>
            </w:r>
          </w:p>
        </w:tc>
        <w:tc>
          <w:tcPr>
            <w:tcW w:w="4691" w:type="dxa"/>
            <w:noWrap/>
          </w:tcPr>
          <w:p w:rsidR="00E739E4" w:rsidRPr="002B630E"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2B630E">
              <w:rPr>
                <w:rFonts w:cs="Calibri"/>
                <w:color w:val="000000"/>
                <w:sz w:val="16"/>
                <w:szCs w:val="16"/>
              </w:rPr>
              <w:t>0,201</w:t>
            </w:r>
          </w:p>
        </w:tc>
      </w:tr>
      <w:tr w:rsidR="00E739E4" w:rsidRPr="002B630E" w:rsidTr="002B6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B630E" w:rsidRDefault="00E739E4" w:rsidP="00E739E4">
            <w:pPr>
              <w:rPr>
                <w:rFonts w:cs="Calibri"/>
                <w:b w:val="0"/>
                <w:color w:val="000000"/>
                <w:sz w:val="16"/>
                <w:szCs w:val="16"/>
              </w:rPr>
            </w:pPr>
            <w:r w:rsidRPr="002B630E">
              <w:rPr>
                <w:rFonts w:cs="Calibri"/>
                <w:b w:val="0"/>
                <w:color w:val="000000"/>
                <w:sz w:val="16"/>
                <w:szCs w:val="16"/>
              </w:rPr>
              <w:t>Phi</w:t>
            </w:r>
          </w:p>
        </w:tc>
        <w:tc>
          <w:tcPr>
            <w:tcW w:w="4691" w:type="dxa"/>
            <w:noWrap/>
            <w:hideMark/>
          </w:tcPr>
          <w:p w:rsidR="00E739E4" w:rsidRPr="002B630E"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2B630E">
              <w:rPr>
                <w:rFonts w:cs="Calibri"/>
                <w:color w:val="000000"/>
                <w:sz w:val="16"/>
                <w:szCs w:val="16"/>
              </w:rPr>
              <w:t>0,807</w:t>
            </w:r>
          </w:p>
        </w:tc>
      </w:tr>
      <w:tr w:rsidR="00E739E4" w:rsidRPr="002B630E" w:rsidTr="002B630E">
        <w:trPr>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B630E" w:rsidRDefault="00E739E4" w:rsidP="00E739E4">
            <w:pPr>
              <w:rPr>
                <w:rFonts w:cs="Calibri"/>
                <w:b w:val="0"/>
                <w:color w:val="000000"/>
                <w:sz w:val="16"/>
                <w:szCs w:val="16"/>
              </w:rPr>
            </w:pPr>
            <w:r w:rsidRPr="002B630E">
              <w:rPr>
                <w:rFonts w:cs="Calibri"/>
                <w:b w:val="0"/>
                <w:color w:val="000000"/>
                <w:sz w:val="16"/>
                <w:szCs w:val="16"/>
              </w:rPr>
              <w:t>MAPE (månad) = 0,75</w:t>
            </w:r>
          </w:p>
        </w:tc>
        <w:tc>
          <w:tcPr>
            <w:tcW w:w="4691" w:type="dxa"/>
            <w:noWrap/>
            <w:hideMark/>
          </w:tcPr>
          <w:p w:rsidR="00E739E4" w:rsidRPr="002B630E"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2B630E">
              <w:rPr>
                <w:rFonts w:cs="Calibri"/>
                <w:color w:val="000000"/>
                <w:sz w:val="16"/>
                <w:szCs w:val="16"/>
              </w:rPr>
              <w:t>MPE (månad) = -0,04</w:t>
            </w:r>
          </w:p>
        </w:tc>
      </w:tr>
    </w:tbl>
    <w:p w:rsidR="00E739E4" w:rsidRDefault="00E739E4" w:rsidP="00E739E4">
      <w:r w:rsidRPr="002559D6">
        <w:t xml:space="preserve">Ovanstående modell är en modell med exponentiell utjämning. En dämpad trendkomponent inkluderas men inga säsongsfaktorer. </w:t>
      </w:r>
    </w:p>
    <w:p w:rsidR="002B630E" w:rsidRPr="002B630E" w:rsidRDefault="002B630E" w:rsidP="00E739E4">
      <w:pPr>
        <w:rPr>
          <w:b/>
        </w:rPr>
      </w:pPr>
      <w:r w:rsidRPr="002B630E">
        <w:rPr>
          <w:rFonts w:cs="Calibri"/>
          <w:b/>
          <w:i/>
          <w:iCs/>
          <w:color w:val="000000"/>
          <w:sz w:val="16"/>
          <w:szCs w:val="16"/>
        </w:rPr>
        <w:t xml:space="preserve">Tabell </w:t>
      </w:r>
      <w:r w:rsidR="00C128AF">
        <w:rPr>
          <w:rFonts w:cs="Calibri"/>
          <w:b/>
          <w:i/>
          <w:iCs/>
          <w:color w:val="000000"/>
          <w:sz w:val="16"/>
          <w:szCs w:val="16"/>
        </w:rPr>
        <w:t>29</w:t>
      </w:r>
      <w:r w:rsidRPr="002B630E">
        <w:rPr>
          <w:rFonts w:cs="Calibri"/>
          <w:b/>
          <w:i/>
          <w:iCs/>
          <w:color w:val="000000"/>
          <w:sz w:val="16"/>
          <w:szCs w:val="16"/>
        </w:rPr>
        <w:t>. Modell över Skyddstillsyn med kontraktsvård (1998m1–2013m12)</w:t>
      </w:r>
    </w:p>
    <w:tbl>
      <w:tblPr>
        <w:tblStyle w:val="Ljuslista-dekorfrg3"/>
        <w:tblW w:w="6912" w:type="dxa"/>
        <w:tblLook w:val="04A0" w:firstRow="1" w:lastRow="0" w:firstColumn="1" w:lastColumn="0" w:noHBand="0" w:noVBand="1"/>
      </w:tblPr>
      <w:tblGrid>
        <w:gridCol w:w="2221"/>
        <w:gridCol w:w="4691"/>
      </w:tblGrid>
      <w:tr w:rsidR="00E739E4" w:rsidRPr="002559D6" w:rsidTr="002B630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559D6" w:rsidRDefault="00E739E4" w:rsidP="00E739E4">
            <w:pPr>
              <w:rPr>
                <w:rFonts w:cs="Calibri"/>
                <w:color w:val="000000"/>
                <w:sz w:val="16"/>
                <w:szCs w:val="16"/>
              </w:rPr>
            </w:pPr>
            <w:r w:rsidRPr="002559D6">
              <w:rPr>
                <w:rFonts w:cs="Calibri"/>
                <w:color w:val="000000"/>
                <w:sz w:val="16"/>
                <w:szCs w:val="16"/>
              </w:rPr>
              <w:t>Parameter</w:t>
            </w:r>
          </w:p>
        </w:tc>
        <w:tc>
          <w:tcPr>
            <w:tcW w:w="4691" w:type="dxa"/>
            <w:noWrap/>
            <w:hideMark/>
          </w:tcPr>
          <w:p w:rsidR="00E739E4" w:rsidRPr="002559D6" w:rsidRDefault="00E739E4" w:rsidP="00E739E4">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Koefficient</w:t>
            </w:r>
          </w:p>
        </w:tc>
      </w:tr>
      <w:tr w:rsidR="00E739E4" w:rsidRPr="002B630E" w:rsidTr="002B6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B630E" w:rsidRDefault="00E739E4" w:rsidP="00E739E4">
            <w:pPr>
              <w:rPr>
                <w:rFonts w:cs="Calibri"/>
                <w:b w:val="0"/>
                <w:color w:val="000000"/>
                <w:sz w:val="16"/>
                <w:szCs w:val="16"/>
              </w:rPr>
            </w:pPr>
            <w:r w:rsidRPr="002B630E">
              <w:rPr>
                <w:rFonts w:cs="Calibri"/>
                <w:b w:val="0"/>
                <w:color w:val="000000"/>
                <w:sz w:val="16"/>
                <w:szCs w:val="16"/>
              </w:rPr>
              <w:t>Alpha</w:t>
            </w:r>
          </w:p>
        </w:tc>
        <w:tc>
          <w:tcPr>
            <w:tcW w:w="4691" w:type="dxa"/>
            <w:noWrap/>
          </w:tcPr>
          <w:p w:rsidR="00E739E4" w:rsidRPr="002B630E"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2B630E">
              <w:rPr>
                <w:rFonts w:cs="Calibri"/>
                <w:color w:val="000000"/>
                <w:sz w:val="16"/>
                <w:szCs w:val="16"/>
              </w:rPr>
              <w:t>0,875</w:t>
            </w:r>
          </w:p>
        </w:tc>
      </w:tr>
      <w:tr w:rsidR="00E739E4" w:rsidRPr="002B630E" w:rsidTr="002B630E">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Beta</w:t>
            </w:r>
          </w:p>
        </w:tc>
        <w:tc>
          <w:tcPr>
            <w:tcW w:w="4691" w:type="dxa"/>
            <w:noWrap/>
          </w:tcPr>
          <w:p w:rsidR="00E739E4" w:rsidRPr="002B630E"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2B630E">
              <w:rPr>
                <w:rFonts w:cs="Calibri"/>
                <w:color w:val="000000"/>
                <w:sz w:val="16"/>
                <w:szCs w:val="16"/>
              </w:rPr>
              <w:t>0,049</w:t>
            </w:r>
          </w:p>
        </w:tc>
      </w:tr>
      <w:tr w:rsidR="00E739E4" w:rsidRPr="002B630E" w:rsidTr="002B6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Gamma</w:t>
            </w:r>
          </w:p>
        </w:tc>
        <w:tc>
          <w:tcPr>
            <w:tcW w:w="4691" w:type="dxa"/>
            <w:noWrap/>
          </w:tcPr>
          <w:p w:rsidR="00E739E4" w:rsidRPr="002B630E"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2B630E">
              <w:rPr>
                <w:rFonts w:cs="Calibri"/>
                <w:color w:val="000000"/>
                <w:sz w:val="16"/>
                <w:szCs w:val="16"/>
              </w:rPr>
              <w:t>0,060</w:t>
            </w:r>
          </w:p>
        </w:tc>
      </w:tr>
      <w:tr w:rsidR="00E739E4" w:rsidRPr="002B630E" w:rsidTr="002B630E">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januari</w:t>
            </w:r>
          </w:p>
        </w:tc>
        <w:tc>
          <w:tcPr>
            <w:tcW w:w="4691" w:type="dxa"/>
            <w:noWrap/>
          </w:tcPr>
          <w:p w:rsidR="00E739E4" w:rsidRPr="002B630E"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2B630E">
              <w:rPr>
                <w:rFonts w:cs="Calibri"/>
                <w:color w:val="000000"/>
                <w:sz w:val="16"/>
                <w:szCs w:val="16"/>
              </w:rPr>
              <w:t>0,002</w:t>
            </w:r>
          </w:p>
        </w:tc>
      </w:tr>
      <w:tr w:rsidR="00E739E4" w:rsidRPr="002B630E" w:rsidTr="002B6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februari</w:t>
            </w:r>
          </w:p>
        </w:tc>
        <w:tc>
          <w:tcPr>
            <w:tcW w:w="4691" w:type="dxa"/>
            <w:noWrap/>
          </w:tcPr>
          <w:p w:rsidR="00E739E4" w:rsidRPr="002B630E"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2B630E">
              <w:rPr>
                <w:rFonts w:cs="Calibri"/>
                <w:color w:val="000000"/>
                <w:sz w:val="16"/>
                <w:szCs w:val="16"/>
              </w:rPr>
              <w:t>0,006</w:t>
            </w:r>
          </w:p>
        </w:tc>
      </w:tr>
      <w:tr w:rsidR="00E739E4" w:rsidRPr="002B630E" w:rsidTr="002B630E">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mars</w:t>
            </w:r>
          </w:p>
        </w:tc>
        <w:tc>
          <w:tcPr>
            <w:tcW w:w="4691" w:type="dxa"/>
            <w:noWrap/>
          </w:tcPr>
          <w:p w:rsidR="00E739E4" w:rsidRPr="002B630E"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2B630E">
              <w:rPr>
                <w:rFonts w:cs="Calibri"/>
                <w:color w:val="000000"/>
                <w:sz w:val="16"/>
                <w:szCs w:val="16"/>
              </w:rPr>
              <w:t>0,003</w:t>
            </w:r>
          </w:p>
        </w:tc>
      </w:tr>
      <w:tr w:rsidR="00E739E4" w:rsidRPr="002B630E" w:rsidTr="002B6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april</w:t>
            </w:r>
          </w:p>
        </w:tc>
        <w:tc>
          <w:tcPr>
            <w:tcW w:w="4691" w:type="dxa"/>
            <w:noWrap/>
          </w:tcPr>
          <w:p w:rsidR="00E739E4" w:rsidRPr="002B630E"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2B630E">
              <w:rPr>
                <w:rFonts w:cs="Calibri"/>
                <w:color w:val="000000"/>
                <w:sz w:val="16"/>
                <w:szCs w:val="16"/>
              </w:rPr>
              <w:t>0,011</w:t>
            </w:r>
          </w:p>
        </w:tc>
      </w:tr>
      <w:tr w:rsidR="00E739E4" w:rsidRPr="002B630E" w:rsidTr="002B630E">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maj</w:t>
            </w:r>
          </w:p>
        </w:tc>
        <w:tc>
          <w:tcPr>
            <w:tcW w:w="4691" w:type="dxa"/>
            <w:noWrap/>
          </w:tcPr>
          <w:p w:rsidR="00E739E4" w:rsidRPr="002B630E"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2B630E">
              <w:rPr>
                <w:rFonts w:cs="Calibri"/>
                <w:color w:val="000000"/>
                <w:sz w:val="16"/>
                <w:szCs w:val="16"/>
              </w:rPr>
              <w:t>0,013</w:t>
            </w:r>
          </w:p>
        </w:tc>
      </w:tr>
      <w:tr w:rsidR="00E739E4" w:rsidRPr="002B630E" w:rsidTr="002B6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juni</w:t>
            </w:r>
          </w:p>
        </w:tc>
        <w:tc>
          <w:tcPr>
            <w:tcW w:w="4691" w:type="dxa"/>
            <w:noWrap/>
          </w:tcPr>
          <w:p w:rsidR="00E739E4" w:rsidRPr="002B630E"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2B630E">
              <w:rPr>
                <w:rFonts w:cs="Calibri"/>
                <w:color w:val="000000"/>
                <w:sz w:val="16"/>
                <w:szCs w:val="16"/>
              </w:rPr>
              <w:t>0,016</w:t>
            </w:r>
          </w:p>
        </w:tc>
      </w:tr>
      <w:tr w:rsidR="00E739E4" w:rsidRPr="002B630E" w:rsidTr="002B630E">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juli</w:t>
            </w:r>
          </w:p>
        </w:tc>
        <w:tc>
          <w:tcPr>
            <w:tcW w:w="4691" w:type="dxa"/>
            <w:noWrap/>
          </w:tcPr>
          <w:p w:rsidR="00E739E4" w:rsidRPr="002B630E"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2B630E">
              <w:rPr>
                <w:rFonts w:cs="Calibri"/>
                <w:color w:val="000000"/>
                <w:sz w:val="16"/>
                <w:szCs w:val="16"/>
              </w:rPr>
              <w:t>0,007</w:t>
            </w:r>
          </w:p>
        </w:tc>
      </w:tr>
      <w:tr w:rsidR="00E739E4" w:rsidRPr="002B630E" w:rsidTr="002B6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augusti</w:t>
            </w:r>
          </w:p>
        </w:tc>
        <w:tc>
          <w:tcPr>
            <w:tcW w:w="4691" w:type="dxa"/>
            <w:noWrap/>
          </w:tcPr>
          <w:p w:rsidR="00E739E4" w:rsidRPr="002B630E" w:rsidRDefault="00DD75BD"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2B630E">
              <w:rPr>
                <w:rFonts w:cs="Calibri"/>
                <w:color w:val="000000"/>
                <w:sz w:val="16"/>
                <w:szCs w:val="16"/>
              </w:rPr>
              <w:t xml:space="preserve">– </w:t>
            </w:r>
            <w:r w:rsidR="00E739E4" w:rsidRPr="002B630E">
              <w:rPr>
                <w:rFonts w:cs="Calibri"/>
                <w:color w:val="000000"/>
                <w:sz w:val="16"/>
                <w:szCs w:val="16"/>
              </w:rPr>
              <w:t>0,007</w:t>
            </w:r>
          </w:p>
        </w:tc>
      </w:tr>
      <w:tr w:rsidR="00E739E4" w:rsidRPr="002B630E" w:rsidTr="002B630E">
        <w:trPr>
          <w:trHeight w:val="300"/>
        </w:trPr>
        <w:tc>
          <w:tcPr>
            <w:tcW w:w="2221" w:type="dxa"/>
            <w:noWrap/>
          </w:tcPr>
          <w:p w:rsidR="00E739E4" w:rsidRPr="002B630E" w:rsidRDefault="00E739E4" w:rsidP="00E739E4">
            <w:pPr>
              <w:cnfStyle w:val="001000000000" w:firstRow="0" w:lastRow="0" w:firstColumn="1" w:lastColumn="0" w:oddVBand="0" w:evenVBand="0" w:oddHBand="0" w:evenHBand="0" w:firstRowFirstColumn="0" w:firstRowLastColumn="0" w:lastRowFirstColumn="0" w:lastRowLastColumn="0"/>
              <w:rPr>
                <w:rFonts w:cs="Calibri"/>
                <w:b w:val="0"/>
                <w:color w:val="000000"/>
                <w:sz w:val="16"/>
                <w:szCs w:val="16"/>
              </w:rPr>
            </w:pPr>
            <w:r w:rsidRPr="002B630E">
              <w:rPr>
                <w:rFonts w:cs="Calibri"/>
                <w:b w:val="0"/>
                <w:color w:val="000000"/>
                <w:sz w:val="16"/>
                <w:szCs w:val="16"/>
              </w:rPr>
              <w:t>Additiv säsong, september</w:t>
            </w:r>
          </w:p>
        </w:tc>
        <w:tc>
          <w:tcPr>
            <w:tcW w:w="4691" w:type="dxa"/>
            <w:noWrap/>
          </w:tcPr>
          <w:p w:rsidR="00E739E4" w:rsidRPr="002B630E" w:rsidRDefault="00DD75BD" w:rsidP="00E739E4">
            <w:pPr>
              <w:jc w:val="right"/>
              <w:rPr>
                <w:rFonts w:cs="Calibri"/>
                <w:color w:val="000000"/>
                <w:sz w:val="16"/>
                <w:szCs w:val="16"/>
              </w:rPr>
            </w:pPr>
            <w:r w:rsidRPr="002B630E">
              <w:rPr>
                <w:rFonts w:cs="Calibri"/>
                <w:color w:val="000000"/>
                <w:sz w:val="16"/>
                <w:szCs w:val="16"/>
              </w:rPr>
              <w:t xml:space="preserve">– </w:t>
            </w:r>
            <w:r w:rsidR="00E739E4" w:rsidRPr="002B630E">
              <w:rPr>
                <w:rFonts w:cs="Calibri"/>
                <w:color w:val="000000"/>
                <w:sz w:val="16"/>
                <w:szCs w:val="16"/>
              </w:rPr>
              <w:t>0,013</w:t>
            </w:r>
          </w:p>
        </w:tc>
      </w:tr>
      <w:tr w:rsidR="00E739E4" w:rsidRPr="002B630E" w:rsidTr="002B6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oktober</w:t>
            </w:r>
          </w:p>
        </w:tc>
        <w:tc>
          <w:tcPr>
            <w:tcW w:w="4691" w:type="dxa"/>
            <w:noWrap/>
          </w:tcPr>
          <w:p w:rsidR="00E739E4" w:rsidRPr="002B630E" w:rsidRDefault="00DD75BD"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2B630E">
              <w:rPr>
                <w:rFonts w:cs="Calibri"/>
                <w:color w:val="000000"/>
                <w:sz w:val="16"/>
                <w:szCs w:val="16"/>
              </w:rPr>
              <w:t xml:space="preserve">– </w:t>
            </w:r>
            <w:r w:rsidR="00E739E4" w:rsidRPr="002B630E">
              <w:rPr>
                <w:rFonts w:cs="Calibri"/>
                <w:color w:val="000000"/>
                <w:sz w:val="16"/>
                <w:szCs w:val="16"/>
              </w:rPr>
              <w:t>0,021</w:t>
            </w:r>
          </w:p>
        </w:tc>
      </w:tr>
      <w:tr w:rsidR="00E739E4" w:rsidRPr="002B630E" w:rsidTr="002B630E">
        <w:trPr>
          <w:trHeight w:val="300"/>
        </w:trPr>
        <w:tc>
          <w:tcPr>
            <w:tcW w:w="2221" w:type="dxa"/>
            <w:noWrap/>
          </w:tcPr>
          <w:p w:rsidR="00E739E4" w:rsidRPr="002B630E" w:rsidRDefault="00E739E4" w:rsidP="00E739E4">
            <w:pPr>
              <w:cnfStyle w:val="001000000000" w:firstRow="0" w:lastRow="0" w:firstColumn="1" w:lastColumn="0" w:oddVBand="0" w:evenVBand="0" w:oddHBand="0" w:evenHBand="0" w:firstRowFirstColumn="0" w:firstRowLastColumn="0" w:lastRowFirstColumn="0" w:lastRowLastColumn="0"/>
              <w:rPr>
                <w:rFonts w:cs="Calibri"/>
                <w:b w:val="0"/>
                <w:color w:val="000000"/>
                <w:sz w:val="16"/>
                <w:szCs w:val="16"/>
              </w:rPr>
            </w:pPr>
            <w:r w:rsidRPr="002B630E">
              <w:rPr>
                <w:rFonts w:cs="Calibri"/>
                <w:b w:val="0"/>
                <w:color w:val="000000"/>
                <w:sz w:val="16"/>
                <w:szCs w:val="16"/>
              </w:rPr>
              <w:t>Additiv säsong, november</w:t>
            </w:r>
          </w:p>
        </w:tc>
        <w:tc>
          <w:tcPr>
            <w:tcW w:w="4691" w:type="dxa"/>
            <w:noWrap/>
          </w:tcPr>
          <w:p w:rsidR="00E739E4" w:rsidRPr="002B630E" w:rsidRDefault="00DD75BD" w:rsidP="00E739E4">
            <w:pPr>
              <w:jc w:val="right"/>
              <w:rPr>
                <w:rFonts w:cs="Calibri"/>
                <w:color w:val="000000"/>
                <w:sz w:val="16"/>
                <w:szCs w:val="16"/>
              </w:rPr>
            </w:pPr>
            <w:r w:rsidRPr="002B630E">
              <w:rPr>
                <w:rFonts w:cs="Calibri"/>
                <w:color w:val="000000"/>
                <w:sz w:val="16"/>
                <w:szCs w:val="16"/>
              </w:rPr>
              <w:t xml:space="preserve">– </w:t>
            </w:r>
            <w:r w:rsidR="00E739E4" w:rsidRPr="002B630E">
              <w:rPr>
                <w:rFonts w:cs="Calibri"/>
                <w:color w:val="000000"/>
                <w:sz w:val="16"/>
                <w:szCs w:val="16"/>
              </w:rPr>
              <w:t>0,011</w:t>
            </w:r>
          </w:p>
        </w:tc>
      </w:tr>
      <w:tr w:rsidR="00E739E4" w:rsidRPr="002B630E" w:rsidTr="002B63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december</w:t>
            </w:r>
          </w:p>
        </w:tc>
        <w:tc>
          <w:tcPr>
            <w:tcW w:w="4691" w:type="dxa"/>
            <w:noWrap/>
          </w:tcPr>
          <w:p w:rsidR="00E739E4" w:rsidRPr="002B630E" w:rsidRDefault="00DD75BD"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2B630E">
              <w:rPr>
                <w:rFonts w:cs="Calibri"/>
                <w:color w:val="000000"/>
                <w:sz w:val="16"/>
                <w:szCs w:val="16"/>
              </w:rPr>
              <w:t xml:space="preserve">– </w:t>
            </w:r>
            <w:r w:rsidR="00E739E4" w:rsidRPr="002B630E">
              <w:rPr>
                <w:rFonts w:cs="Calibri"/>
                <w:color w:val="000000"/>
                <w:sz w:val="16"/>
                <w:szCs w:val="16"/>
              </w:rPr>
              <w:t>0,007</w:t>
            </w:r>
          </w:p>
        </w:tc>
      </w:tr>
      <w:tr w:rsidR="00E739E4" w:rsidRPr="002B630E" w:rsidTr="002B630E">
        <w:trPr>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B630E" w:rsidRDefault="00E739E4" w:rsidP="00E739E4">
            <w:pPr>
              <w:rPr>
                <w:rFonts w:cs="Calibri"/>
                <w:b w:val="0"/>
                <w:color w:val="000000"/>
                <w:sz w:val="16"/>
                <w:szCs w:val="16"/>
              </w:rPr>
            </w:pPr>
            <w:r w:rsidRPr="002B630E">
              <w:rPr>
                <w:rFonts w:cs="Calibri"/>
                <w:b w:val="0"/>
                <w:color w:val="000000"/>
                <w:sz w:val="16"/>
                <w:szCs w:val="16"/>
              </w:rPr>
              <w:t>MAPE (månad) = 1,11</w:t>
            </w:r>
          </w:p>
        </w:tc>
        <w:tc>
          <w:tcPr>
            <w:tcW w:w="4691" w:type="dxa"/>
            <w:noWrap/>
            <w:hideMark/>
          </w:tcPr>
          <w:p w:rsidR="00E739E4" w:rsidRPr="002B630E"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2B630E">
              <w:rPr>
                <w:rFonts w:cs="Calibri"/>
                <w:color w:val="000000"/>
                <w:sz w:val="16"/>
                <w:szCs w:val="16"/>
              </w:rPr>
              <w:t>MPE (månad) = -0,08</w:t>
            </w:r>
          </w:p>
        </w:tc>
      </w:tr>
    </w:tbl>
    <w:p w:rsidR="00C128AF" w:rsidRDefault="00E739E4" w:rsidP="00E739E4">
      <w:r>
        <w:t>Ovanstående modell är en exponentiell modell där den beroende variabeln är logaritmerad.</w:t>
      </w:r>
    </w:p>
    <w:p w:rsidR="00C128AF" w:rsidRDefault="00C128AF" w:rsidP="00C128AF">
      <w:r>
        <w:br w:type="page"/>
      </w:r>
    </w:p>
    <w:p w:rsidR="00E739E4" w:rsidRDefault="002B630E" w:rsidP="00E739E4">
      <w:r w:rsidRPr="002B630E">
        <w:rPr>
          <w:rFonts w:cs="Calibri"/>
          <w:b/>
          <w:i/>
          <w:iCs/>
          <w:color w:val="000000"/>
          <w:sz w:val="16"/>
          <w:szCs w:val="16"/>
        </w:rPr>
        <w:t xml:space="preserve">Tabell </w:t>
      </w:r>
      <w:r w:rsidR="00C128AF">
        <w:rPr>
          <w:rFonts w:cs="Calibri"/>
          <w:b/>
          <w:i/>
          <w:iCs/>
          <w:color w:val="000000"/>
          <w:sz w:val="16"/>
          <w:szCs w:val="16"/>
        </w:rPr>
        <w:t>30</w:t>
      </w:r>
      <w:r w:rsidRPr="002B630E">
        <w:rPr>
          <w:rFonts w:cs="Calibri"/>
          <w:b/>
          <w:i/>
          <w:iCs/>
          <w:color w:val="000000"/>
          <w:sz w:val="16"/>
          <w:szCs w:val="16"/>
        </w:rPr>
        <w:t>. Modell över Skyddstillsyn med samhällstjänst (1998m1–2013m12)</w:t>
      </w:r>
    </w:p>
    <w:tbl>
      <w:tblPr>
        <w:tblStyle w:val="Ljuslista-dekorfrg3"/>
        <w:tblW w:w="6912" w:type="dxa"/>
        <w:tblLook w:val="04A0" w:firstRow="1" w:lastRow="0" w:firstColumn="1" w:lastColumn="0" w:noHBand="0" w:noVBand="1"/>
      </w:tblPr>
      <w:tblGrid>
        <w:gridCol w:w="2221"/>
        <w:gridCol w:w="4691"/>
      </w:tblGrid>
      <w:tr w:rsidR="00E739E4" w:rsidRPr="002559D6" w:rsidTr="00A145A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559D6" w:rsidRDefault="00E739E4" w:rsidP="00E739E4">
            <w:pPr>
              <w:rPr>
                <w:rFonts w:cs="Calibri"/>
                <w:color w:val="000000"/>
                <w:sz w:val="16"/>
                <w:szCs w:val="16"/>
              </w:rPr>
            </w:pPr>
            <w:r w:rsidRPr="002559D6">
              <w:rPr>
                <w:rFonts w:cs="Calibri"/>
                <w:color w:val="000000"/>
                <w:sz w:val="16"/>
                <w:szCs w:val="16"/>
              </w:rPr>
              <w:lastRenderedPageBreak/>
              <w:t>Parameter</w:t>
            </w:r>
          </w:p>
        </w:tc>
        <w:tc>
          <w:tcPr>
            <w:tcW w:w="4691" w:type="dxa"/>
            <w:noWrap/>
            <w:hideMark/>
          </w:tcPr>
          <w:p w:rsidR="00E739E4" w:rsidRPr="002559D6" w:rsidRDefault="00E739E4" w:rsidP="00E739E4">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Koefficient</w:t>
            </w:r>
          </w:p>
        </w:tc>
      </w:tr>
      <w:tr w:rsidR="00E739E4" w:rsidRPr="002559D6" w:rsidTr="00A145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559D6" w:rsidRDefault="00E739E4" w:rsidP="00E739E4">
            <w:pPr>
              <w:rPr>
                <w:rFonts w:cs="Calibri"/>
                <w:color w:val="000000"/>
                <w:sz w:val="16"/>
                <w:szCs w:val="16"/>
              </w:rPr>
            </w:pPr>
            <w:r w:rsidRPr="002559D6">
              <w:rPr>
                <w:rFonts w:cs="Calibri"/>
                <w:color w:val="000000"/>
                <w:sz w:val="16"/>
                <w:szCs w:val="16"/>
              </w:rPr>
              <w:t>Alpha</w:t>
            </w:r>
          </w:p>
        </w:tc>
        <w:tc>
          <w:tcPr>
            <w:tcW w:w="4691" w:type="dxa"/>
            <w:noWrap/>
          </w:tcPr>
          <w:p w:rsidR="00E739E4" w:rsidRPr="002559D6"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0,999</w:t>
            </w:r>
          </w:p>
        </w:tc>
      </w:tr>
      <w:tr w:rsidR="00E739E4" w:rsidRPr="002559D6" w:rsidTr="00A145AA">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559D6" w:rsidRDefault="00E739E4" w:rsidP="00E739E4">
            <w:pPr>
              <w:rPr>
                <w:rFonts w:cs="Calibri"/>
                <w:color w:val="000000"/>
                <w:sz w:val="16"/>
                <w:szCs w:val="16"/>
              </w:rPr>
            </w:pPr>
            <w:r w:rsidRPr="002559D6">
              <w:rPr>
                <w:rFonts w:cs="Calibri"/>
                <w:color w:val="000000"/>
                <w:sz w:val="16"/>
                <w:szCs w:val="16"/>
              </w:rPr>
              <w:t>Beta</w:t>
            </w:r>
          </w:p>
        </w:tc>
        <w:tc>
          <w:tcPr>
            <w:tcW w:w="4691" w:type="dxa"/>
            <w:noWrap/>
          </w:tcPr>
          <w:p w:rsidR="00E739E4" w:rsidRPr="002559D6"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0,060</w:t>
            </w:r>
          </w:p>
        </w:tc>
      </w:tr>
      <w:tr w:rsidR="00E739E4" w:rsidRPr="002559D6" w:rsidTr="00A145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559D6" w:rsidRDefault="00E739E4" w:rsidP="00E739E4">
            <w:pPr>
              <w:rPr>
                <w:rFonts w:cs="Calibri"/>
                <w:color w:val="000000"/>
                <w:sz w:val="16"/>
                <w:szCs w:val="16"/>
              </w:rPr>
            </w:pPr>
            <w:r w:rsidRPr="002559D6">
              <w:rPr>
                <w:rFonts w:cs="Calibri"/>
                <w:color w:val="000000"/>
                <w:sz w:val="16"/>
                <w:szCs w:val="16"/>
              </w:rPr>
              <w:t>Phi</w:t>
            </w:r>
          </w:p>
        </w:tc>
        <w:tc>
          <w:tcPr>
            <w:tcW w:w="4691" w:type="dxa"/>
            <w:noWrap/>
          </w:tcPr>
          <w:p w:rsidR="00E739E4" w:rsidRPr="002559D6"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0,973</w:t>
            </w:r>
          </w:p>
        </w:tc>
      </w:tr>
      <w:tr w:rsidR="00E739E4" w:rsidRPr="002559D6" w:rsidTr="00A145AA">
        <w:trPr>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559D6" w:rsidRDefault="00E739E4" w:rsidP="00E739E4">
            <w:pPr>
              <w:rPr>
                <w:rFonts w:cs="Calibri"/>
                <w:color w:val="000000"/>
                <w:sz w:val="16"/>
                <w:szCs w:val="16"/>
              </w:rPr>
            </w:pPr>
            <w:r>
              <w:rPr>
                <w:rFonts w:cs="Calibri"/>
                <w:color w:val="000000"/>
                <w:sz w:val="16"/>
                <w:szCs w:val="16"/>
              </w:rPr>
              <w:t>MAPE (månad) = 1,36</w:t>
            </w:r>
          </w:p>
        </w:tc>
        <w:tc>
          <w:tcPr>
            <w:tcW w:w="4691" w:type="dxa"/>
            <w:noWrap/>
            <w:hideMark/>
          </w:tcPr>
          <w:p w:rsidR="00E739E4" w:rsidRPr="002559D6"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 xml:space="preserve">MPE (månad) = </w:t>
            </w:r>
            <w:r>
              <w:rPr>
                <w:rFonts w:cs="Calibri"/>
                <w:color w:val="000000"/>
                <w:sz w:val="16"/>
                <w:szCs w:val="16"/>
              </w:rPr>
              <w:t>0,09</w:t>
            </w:r>
          </w:p>
        </w:tc>
      </w:tr>
    </w:tbl>
    <w:p w:rsidR="00E739E4" w:rsidRDefault="00E739E4" w:rsidP="00E739E4">
      <w:r w:rsidRPr="002559D6">
        <w:t xml:space="preserve">Ovanstående modell är en modell med exponentiell utjämning. En dämpad trendkomponent inkluderas men inga säsongsfaktorer. </w:t>
      </w:r>
    </w:p>
    <w:p w:rsidR="002B630E" w:rsidRPr="002B630E" w:rsidRDefault="002B630E" w:rsidP="00E739E4">
      <w:pPr>
        <w:rPr>
          <w:b/>
        </w:rPr>
      </w:pPr>
      <w:r w:rsidRPr="002B630E">
        <w:rPr>
          <w:rFonts w:cs="Calibri"/>
          <w:b/>
          <w:i/>
          <w:iCs/>
          <w:color w:val="000000"/>
          <w:sz w:val="16"/>
          <w:szCs w:val="16"/>
        </w:rPr>
        <w:t xml:space="preserve">Tabell </w:t>
      </w:r>
      <w:r>
        <w:rPr>
          <w:rFonts w:cs="Calibri"/>
          <w:b/>
          <w:i/>
          <w:iCs/>
          <w:color w:val="000000"/>
          <w:sz w:val="16"/>
          <w:szCs w:val="16"/>
        </w:rPr>
        <w:t>3</w:t>
      </w:r>
      <w:r w:rsidR="00C128AF">
        <w:rPr>
          <w:rFonts w:cs="Calibri"/>
          <w:b/>
          <w:i/>
          <w:iCs/>
          <w:color w:val="000000"/>
          <w:sz w:val="16"/>
          <w:szCs w:val="16"/>
        </w:rPr>
        <w:t>1</w:t>
      </w:r>
      <w:r w:rsidRPr="002B630E">
        <w:rPr>
          <w:rFonts w:cs="Calibri"/>
          <w:b/>
          <w:i/>
          <w:iCs/>
          <w:color w:val="000000"/>
          <w:sz w:val="16"/>
          <w:szCs w:val="16"/>
        </w:rPr>
        <w:t>. Modell över Villkorligt frigivna (1998m1–2013m12)</w:t>
      </w:r>
    </w:p>
    <w:tbl>
      <w:tblPr>
        <w:tblStyle w:val="Ljuslista-dekorfrg3"/>
        <w:tblW w:w="6912" w:type="dxa"/>
        <w:tblLook w:val="04A0" w:firstRow="1" w:lastRow="0" w:firstColumn="1" w:lastColumn="0" w:noHBand="0" w:noVBand="1"/>
      </w:tblPr>
      <w:tblGrid>
        <w:gridCol w:w="2221"/>
        <w:gridCol w:w="4691"/>
      </w:tblGrid>
      <w:tr w:rsidR="00E739E4" w:rsidRPr="002559D6" w:rsidTr="00A145A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559D6" w:rsidRDefault="00E739E4" w:rsidP="00E739E4">
            <w:pPr>
              <w:rPr>
                <w:rFonts w:cs="Calibri"/>
                <w:color w:val="000000"/>
                <w:sz w:val="16"/>
                <w:szCs w:val="16"/>
              </w:rPr>
            </w:pPr>
            <w:r w:rsidRPr="002559D6">
              <w:rPr>
                <w:rFonts w:cs="Calibri"/>
                <w:color w:val="000000"/>
                <w:sz w:val="16"/>
                <w:szCs w:val="16"/>
              </w:rPr>
              <w:t>Parameter</w:t>
            </w:r>
          </w:p>
        </w:tc>
        <w:tc>
          <w:tcPr>
            <w:tcW w:w="4691" w:type="dxa"/>
            <w:noWrap/>
            <w:hideMark/>
          </w:tcPr>
          <w:p w:rsidR="00E739E4" w:rsidRPr="002559D6" w:rsidRDefault="00E739E4" w:rsidP="00E739E4">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Koefficient</w:t>
            </w:r>
          </w:p>
        </w:tc>
      </w:tr>
      <w:tr w:rsidR="00E739E4" w:rsidRPr="002559D6" w:rsidTr="00A145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559D6" w:rsidRDefault="00E739E4" w:rsidP="00E739E4">
            <w:pPr>
              <w:rPr>
                <w:rFonts w:cs="Calibri"/>
                <w:color w:val="000000"/>
                <w:sz w:val="16"/>
                <w:szCs w:val="16"/>
              </w:rPr>
            </w:pPr>
            <w:r w:rsidRPr="002559D6">
              <w:rPr>
                <w:rFonts w:cs="Calibri"/>
                <w:color w:val="000000"/>
                <w:sz w:val="16"/>
                <w:szCs w:val="16"/>
              </w:rPr>
              <w:t>Alpha</w:t>
            </w:r>
          </w:p>
        </w:tc>
        <w:tc>
          <w:tcPr>
            <w:tcW w:w="4691" w:type="dxa"/>
            <w:noWrap/>
          </w:tcPr>
          <w:p w:rsidR="00E739E4" w:rsidRPr="002559D6"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0,999</w:t>
            </w:r>
          </w:p>
        </w:tc>
      </w:tr>
      <w:tr w:rsidR="00E739E4" w:rsidRPr="002559D6" w:rsidTr="00A145AA">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559D6" w:rsidRDefault="00E739E4" w:rsidP="00E739E4">
            <w:pPr>
              <w:rPr>
                <w:rFonts w:cs="Calibri"/>
                <w:color w:val="000000"/>
                <w:sz w:val="16"/>
                <w:szCs w:val="16"/>
              </w:rPr>
            </w:pPr>
            <w:r>
              <w:rPr>
                <w:rFonts w:cs="Calibri"/>
                <w:color w:val="000000"/>
                <w:sz w:val="16"/>
                <w:szCs w:val="16"/>
              </w:rPr>
              <w:t>Beta</w:t>
            </w:r>
          </w:p>
        </w:tc>
        <w:tc>
          <w:tcPr>
            <w:tcW w:w="4691" w:type="dxa"/>
            <w:noWrap/>
          </w:tcPr>
          <w:p w:rsidR="00E739E4" w:rsidRPr="002559D6"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0,037</w:t>
            </w:r>
          </w:p>
        </w:tc>
      </w:tr>
      <w:tr w:rsidR="00E739E4" w:rsidRPr="002559D6" w:rsidTr="00A145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559D6" w:rsidRDefault="00E739E4" w:rsidP="00E739E4">
            <w:pPr>
              <w:rPr>
                <w:rFonts w:cs="Calibri"/>
                <w:color w:val="000000"/>
                <w:sz w:val="16"/>
                <w:szCs w:val="16"/>
              </w:rPr>
            </w:pPr>
            <w:r w:rsidRPr="002559D6">
              <w:rPr>
                <w:rFonts w:cs="Calibri"/>
                <w:color w:val="000000"/>
                <w:sz w:val="16"/>
                <w:szCs w:val="16"/>
              </w:rPr>
              <w:t>Gamma</w:t>
            </w:r>
          </w:p>
        </w:tc>
        <w:tc>
          <w:tcPr>
            <w:tcW w:w="4691" w:type="dxa"/>
            <w:noWrap/>
          </w:tcPr>
          <w:p w:rsidR="00E739E4" w:rsidRPr="002559D6"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0,001</w:t>
            </w:r>
          </w:p>
        </w:tc>
      </w:tr>
      <w:tr w:rsidR="00E739E4" w:rsidRPr="002559D6" w:rsidTr="00A145AA">
        <w:trPr>
          <w:trHeight w:val="300"/>
        </w:trPr>
        <w:tc>
          <w:tcPr>
            <w:tcW w:w="2221" w:type="dxa"/>
            <w:noWrap/>
          </w:tcPr>
          <w:p w:rsidR="00E739E4" w:rsidRPr="002559D6" w:rsidRDefault="00E739E4" w:rsidP="00E739E4">
            <w:pPr>
              <w:cnfStyle w:val="001000000000" w:firstRow="0" w:lastRow="0" w:firstColumn="1"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Additiv säsong, januari</w:t>
            </w:r>
          </w:p>
        </w:tc>
        <w:tc>
          <w:tcPr>
            <w:tcW w:w="4691" w:type="dxa"/>
            <w:noWrap/>
          </w:tcPr>
          <w:p w:rsidR="00E739E4" w:rsidRPr="002559D6" w:rsidRDefault="00DD75BD" w:rsidP="00E739E4">
            <w:pPr>
              <w:jc w:val="right"/>
              <w:rPr>
                <w:rFonts w:cs="Calibri"/>
                <w:color w:val="000000"/>
                <w:sz w:val="16"/>
                <w:szCs w:val="16"/>
              </w:rPr>
            </w:pPr>
            <w:r>
              <w:rPr>
                <w:rFonts w:cs="Calibri"/>
                <w:color w:val="000000"/>
                <w:sz w:val="16"/>
                <w:szCs w:val="16"/>
              </w:rPr>
              <w:t xml:space="preserve">– </w:t>
            </w:r>
            <w:r w:rsidR="002B630E">
              <w:rPr>
                <w:rFonts w:cs="Calibri"/>
                <w:color w:val="000000"/>
                <w:sz w:val="16"/>
                <w:szCs w:val="16"/>
              </w:rPr>
              <w:t>16,5</w:t>
            </w:r>
          </w:p>
        </w:tc>
      </w:tr>
      <w:tr w:rsidR="00E739E4" w:rsidRPr="002559D6" w:rsidTr="00A145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559D6" w:rsidRDefault="00E739E4" w:rsidP="00E739E4">
            <w:pPr>
              <w:rPr>
                <w:rFonts w:cs="Calibri"/>
                <w:color w:val="000000"/>
                <w:sz w:val="16"/>
                <w:szCs w:val="16"/>
              </w:rPr>
            </w:pPr>
            <w:r w:rsidRPr="002559D6">
              <w:rPr>
                <w:rFonts w:cs="Calibri"/>
                <w:color w:val="000000"/>
                <w:sz w:val="16"/>
                <w:szCs w:val="16"/>
              </w:rPr>
              <w:t>Additiv säsong, februari</w:t>
            </w:r>
          </w:p>
        </w:tc>
        <w:tc>
          <w:tcPr>
            <w:tcW w:w="4691" w:type="dxa"/>
            <w:noWrap/>
          </w:tcPr>
          <w:p w:rsidR="00E739E4" w:rsidRPr="002559D6" w:rsidRDefault="00DD75BD"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 xml:space="preserve">– </w:t>
            </w:r>
            <w:r w:rsidR="002B630E">
              <w:rPr>
                <w:rFonts w:cs="Calibri"/>
                <w:color w:val="000000"/>
                <w:sz w:val="16"/>
                <w:szCs w:val="16"/>
              </w:rPr>
              <w:t>7,4</w:t>
            </w:r>
          </w:p>
        </w:tc>
      </w:tr>
      <w:tr w:rsidR="00E739E4" w:rsidRPr="002559D6" w:rsidTr="00A145AA">
        <w:trPr>
          <w:trHeight w:val="300"/>
        </w:trPr>
        <w:tc>
          <w:tcPr>
            <w:tcW w:w="2221" w:type="dxa"/>
            <w:noWrap/>
          </w:tcPr>
          <w:p w:rsidR="00E739E4" w:rsidRPr="002559D6" w:rsidRDefault="00E739E4" w:rsidP="00E739E4">
            <w:pPr>
              <w:cnfStyle w:val="001000000000" w:firstRow="0" w:lastRow="0" w:firstColumn="1"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Additiv säsong, mars</w:t>
            </w:r>
          </w:p>
        </w:tc>
        <w:tc>
          <w:tcPr>
            <w:tcW w:w="4691" w:type="dxa"/>
            <w:noWrap/>
          </w:tcPr>
          <w:p w:rsidR="00E739E4" w:rsidRPr="002559D6" w:rsidRDefault="00DD75BD" w:rsidP="00E739E4">
            <w:pPr>
              <w:jc w:val="right"/>
              <w:rPr>
                <w:rFonts w:cs="Calibri"/>
                <w:color w:val="000000"/>
                <w:sz w:val="16"/>
                <w:szCs w:val="16"/>
              </w:rPr>
            </w:pPr>
            <w:r>
              <w:rPr>
                <w:rFonts w:cs="Calibri"/>
                <w:color w:val="000000"/>
                <w:sz w:val="16"/>
                <w:szCs w:val="16"/>
              </w:rPr>
              <w:t xml:space="preserve">– </w:t>
            </w:r>
            <w:r w:rsidR="002B630E">
              <w:rPr>
                <w:rFonts w:cs="Calibri"/>
                <w:color w:val="000000"/>
                <w:sz w:val="16"/>
                <w:szCs w:val="16"/>
              </w:rPr>
              <w:t>12,6</w:t>
            </w:r>
          </w:p>
        </w:tc>
      </w:tr>
      <w:tr w:rsidR="00E739E4" w:rsidRPr="002559D6" w:rsidTr="00A145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559D6" w:rsidRDefault="00E739E4" w:rsidP="00E739E4">
            <w:pPr>
              <w:rPr>
                <w:rFonts w:cs="Calibri"/>
                <w:color w:val="000000"/>
                <w:sz w:val="16"/>
                <w:szCs w:val="16"/>
              </w:rPr>
            </w:pPr>
            <w:r w:rsidRPr="002559D6">
              <w:rPr>
                <w:rFonts w:cs="Calibri"/>
                <w:color w:val="000000"/>
                <w:sz w:val="16"/>
                <w:szCs w:val="16"/>
              </w:rPr>
              <w:t>Additiv säsong, april</w:t>
            </w:r>
          </w:p>
        </w:tc>
        <w:tc>
          <w:tcPr>
            <w:tcW w:w="4691" w:type="dxa"/>
            <w:noWrap/>
          </w:tcPr>
          <w:p w:rsidR="00E739E4" w:rsidRPr="002559D6" w:rsidRDefault="00DD75BD"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 xml:space="preserve">– </w:t>
            </w:r>
            <w:r w:rsidR="002B630E">
              <w:rPr>
                <w:rFonts w:cs="Calibri"/>
                <w:color w:val="000000"/>
                <w:sz w:val="16"/>
                <w:szCs w:val="16"/>
              </w:rPr>
              <w:t>15,5</w:t>
            </w:r>
          </w:p>
        </w:tc>
      </w:tr>
      <w:tr w:rsidR="00E739E4" w:rsidRPr="002559D6" w:rsidTr="00A145AA">
        <w:trPr>
          <w:trHeight w:val="300"/>
        </w:trPr>
        <w:tc>
          <w:tcPr>
            <w:tcW w:w="2221" w:type="dxa"/>
            <w:noWrap/>
          </w:tcPr>
          <w:p w:rsidR="00E739E4" w:rsidRPr="002559D6" w:rsidRDefault="00E739E4" w:rsidP="00E739E4">
            <w:pPr>
              <w:cnfStyle w:val="001000000000" w:firstRow="0" w:lastRow="0" w:firstColumn="1"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Additiv säsong, maj</w:t>
            </w:r>
          </w:p>
        </w:tc>
        <w:tc>
          <w:tcPr>
            <w:tcW w:w="4691" w:type="dxa"/>
            <w:noWrap/>
          </w:tcPr>
          <w:p w:rsidR="00E739E4" w:rsidRPr="002559D6" w:rsidRDefault="00DD75BD" w:rsidP="00E739E4">
            <w:pPr>
              <w:jc w:val="right"/>
              <w:rPr>
                <w:rFonts w:cs="Calibri"/>
                <w:color w:val="000000"/>
                <w:sz w:val="16"/>
                <w:szCs w:val="16"/>
              </w:rPr>
            </w:pPr>
            <w:r>
              <w:rPr>
                <w:rFonts w:cs="Calibri"/>
                <w:color w:val="000000"/>
                <w:sz w:val="16"/>
                <w:szCs w:val="16"/>
              </w:rPr>
              <w:t xml:space="preserve">– </w:t>
            </w:r>
            <w:r w:rsidR="002B630E">
              <w:rPr>
                <w:rFonts w:cs="Calibri"/>
                <w:color w:val="000000"/>
                <w:sz w:val="16"/>
                <w:szCs w:val="16"/>
              </w:rPr>
              <w:t>21,5</w:t>
            </w:r>
          </w:p>
        </w:tc>
      </w:tr>
      <w:tr w:rsidR="00E739E4" w:rsidRPr="002559D6" w:rsidTr="00A145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559D6" w:rsidRDefault="00E739E4" w:rsidP="00E739E4">
            <w:pPr>
              <w:rPr>
                <w:rFonts w:cs="Calibri"/>
                <w:color w:val="000000"/>
                <w:sz w:val="16"/>
                <w:szCs w:val="16"/>
              </w:rPr>
            </w:pPr>
            <w:r w:rsidRPr="002559D6">
              <w:rPr>
                <w:rFonts w:cs="Calibri"/>
                <w:color w:val="000000"/>
                <w:sz w:val="16"/>
                <w:szCs w:val="16"/>
              </w:rPr>
              <w:t>Additiv säsong, juni</w:t>
            </w:r>
          </w:p>
        </w:tc>
        <w:tc>
          <w:tcPr>
            <w:tcW w:w="4691" w:type="dxa"/>
            <w:noWrap/>
          </w:tcPr>
          <w:p w:rsidR="00E739E4" w:rsidRPr="002559D6" w:rsidRDefault="00DD75BD"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 xml:space="preserve">– </w:t>
            </w:r>
            <w:r w:rsidR="002B630E">
              <w:rPr>
                <w:rFonts w:cs="Calibri"/>
                <w:color w:val="000000"/>
                <w:sz w:val="16"/>
                <w:szCs w:val="16"/>
              </w:rPr>
              <w:t>16,6</w:t>
            </w:r>
          </w:p>
        </w:tc>
      </w:tr>
      <w:tr w:rsidR="00E739E4" w:rsidRPr="002559D6" w:rsidTr="00A145AA">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559D6" w:rsidRDefault="00E739E4" w:rsidP="00E739E4">
            <w:pPr>
              <w:rPr>
                <w:rFonts w:cs="Calibri"/>
                <w:color w:val="000000"/>
                <w:sz w:val="16"/>
                <w:szCs w:val="16"/>
              </w:rPr>
            </w:pPr>
            <w:r w:rsidRPr="002559D6">
              <w:rPr>
                <w:rFonts w:cs="Calibri"/>
                <w:color w:val="000000"/>
                <w:sz w:val="16"/>
                <w:szCs w:val="16"/>
              </w:rPr>
              <w:t>Additiv säsong, juli</w:t>
            </w:r>
          </w:p>
        </w:tc>
        <w:tc>
          <w:tcPr>
            <w:tcW w:w="4691" w:type="dxa"/>
            <w:noWrap/>
          </w:tcPr>
          <w:p w:rsidR="00E739E4" w:rsidRPr="002559D6" w:rsidRDefault="002B630E"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7,6</w:t>
            </w:r>
          </w:p>
        </w:tc>
      </w:tr>
      <w:tr w:rsidR="00E739E4" w:rsidRPr="002559D6" w:rsidTr="00A145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559D6" w:rsidRDefault="00E739E4" w:rsidP="00E739E4">
            <w:pPr>
              <w:rPr>
                <w:rFonts w:cs="Calibri"/>
                <w:color w:val="000000"/>
                <w:sz w:val="16"/>
                <w:szCs w:val="16"/>
              </w:rPr>
            </w:pPr>
            <w:r w:rsidRPr="002559D6">
              <w:rPr>
                <w:rFonts w:cs="Calibri"/>
                <w:color w:val="000000"/>
                <w:sz w:val="16"/>
                <w:szCs w:val="16"/>
              </w:rPr>
              <w:t>Additiv säsong, augusti</w:t>
            </w:r>
          </w:p>
        </w:tc>
        <w:tc>
          <w:tcPr>
            <w:tcW w:w="4691" w:type="dxa"/>
            <w:noWrap/>
          </w:tcPr>
          <w:p w:rsidR="00E739E4" w:rsidRPr="002559D6" w:rsidRDefault="002B630E"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38,7</w:t>
            </w:r>
          </w:p>
        </w:tc>
      </w:tr>
      <w:tr w:rsidR="00E739E4" w:rsidRPr="002559D6" w:rsidTr="00A145AA">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559D6" w:rsidRDefault="00E739E4" w:rsidP="00E739E4">
            <w:pPr>
              <w:rPr>
                <w:rFonts w:cs="Calibri"/>
                <w:color w:val="000000"/>
                <w:sz w:val="16"/>
                <w:szCs w:val="16"/>
              </w:rPr>
            </w:pPr>
            <w:r w:rsidRPr="002559D6">
              <w:rPr>
                <w:rFonts w:cs="Calibri"/>
                <w:color w:val="000000"/>
                <w:sz w:val="16"/>
                <w:szCs w:val="16"/>
              </w:rPr>
              <w:t>Additiv säsong, september</w:t>
            </w:r>
          </w:p>
        </w:tc>
        <w:tc>
          <w:tcPr>
            <w:tcW w:w="4691" w:type="dxa"/>
            <w:noWrap/>
          </w:tcPr>
          <w:p w:rsidR="00E739E4" w:rsidRPr="002559D6" w:rsidRDefault="002B630E"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37,8</w:t>
            </w:r>
          </w:p>
        </w:tc>
      </w:tr>
      <w:tr w:rsidR="00E739E4" w:rsidRPr="002559D6" w:rsidTr="00A145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559D6" w:rsidRDefault="00E739E4" w:rsidP="00E739E4">
            <w:pPr>
              <w:rPr>
                <w:rFonts w:cs="Calibri"/>
                <w:color w:val="000000"/>
                <w:sz w:val="16"/>
                <w:szCs w:val="16"/>
              </w:rPr>
            </w:pPr>
            <w:r w:rsidRPr="002559D6">
              <w:rPr>
                <w:rFonts w:cs="Calibri"/>
                <w:color w:val="000000"/>
                <w:sz w:val="16"/>
                <w:szCs w:val="16"/>
              </w:rPr>
              <w:t>Additiv säsong, oktober</w:t>
            </w:r>
          </w:p>
        </w:tc>
        <w:tc>
          <w:tcPr>
            <w:tcW w:w="4691" w:type="dxa"/>
            <w:noWrap/>
          </w:tcPr>
          <w:p w:rsidR="00E739E4" w:rsidRPr="002559D6" w:rsidRDefault="002B630E"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25,5</w:t>
            </w:r>
          </w:p>
        </w:tc>
      </w:tr>
      <w:tr w:rsidR="00E739E4" w:rsidRPr="002559D6" w:rsidTr="00A145AA">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559D6" w:rsidRDefault="00E739E4" w:rsidP="00E739E4">
            <w:pPr>
              <w:rPr>
                <w:rFonts w:cs="Calibri"/>
                <w:color w:val="000000"/>
                <w:sz w:val="16"/>
                <w:szCs w:val="16"/>
              </w:rPr>
            </w:pPr>
            <w:r w:rsidRPr="002559D6">
              <w:rPr>
                <w:rFonts w:cs="Calibri"/>
                <w:color w:val="000000"/>
                <w:sz w:val="16"/>
                <w:szCs w:val="16"/>
              </w:rPr>
              <w:t>Additiv säsong, november</w:t>
            </w:r>
          </w:p>
        </w:tc>
        <w:tc>
          <w:tcPr>
            <w:tcW w:w="4691" w:type="dxa"/>
            <w:noWrap/>
          </w:tcPr>
          <w:p w:rsidR="00E739E4" w:rsidRPr="002559D6" w:rsidRDefault="002B630E"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3,2</w:t>
            </w:r>
          </w:p>
        </w:tc>
      </w:tr>
      <w:tr w:rsidR="00E739E4" w:rsidRPr="002559D6" w:rsidTr="00A145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559D6" w:rsidRDefault="00E739E4" w:rsidP="00E739E4">
            <w:pPr>
              <w:rPr>
                <w:rFonts w:cs="Calibri"/>
                <w:color w:val="000000"/>
                <w:sz w:val="16"/>
                <w:szCs w:val="16"/>
              </w:rPr>
            </w:pPr>
            <w:r w:rsidRPr="002559D6">
              <w:rPr>
                <w:rFonts w:cs="Calibri"/>
                <w:color w:val="000000"/>
                <w:sz w:val="16"/>
                <w:szCs w:val="16"/>
              </w:rPr>
              <w:t>Additiv säsong, december</w:t>
            </w:r>
          </w:p>
        </w:tc>
        <w:tc>
          <w:tcPr>
            <w:tcW w:w="4691" w:type="dxa"/>
            <w:noWrap/>
          </w:tcPr>
          <w:p w:rsidR="00E739E4" w:rsidRPr="002559D6" w:rsidRDefault="00DD75BD"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 xml:space="preserve">– </w:t>
            </w:r>
            <w:r w:rsidR="002B630E">
              <w:rPr>
                <w:rFonts w:cs="Calibri"/>
                <w:color w:val="000000"/>
                <w:sz w:val="16"/>
                <w:szCs w:val="16"/>
              </w:rPr>
              <w:t>22,8</w:t>
            </w:r>
          </w:p>
        </w:tc>
      </w:tr>
      <w:tr w:rsidR="00E739E4" w:rsidRPr="002559D6" w:rsidTr="00A145AA">
        <w:trPr>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559D6" w:rsidRDefault="00E739E4" w:rsidP="00E739E4">
            <w:pPr>
              <w:rPr>
                <w:rFonts w:cs="Calibri"/>
                <w:color w:val="000000"/>
                <w:sz w:val="16"/>
                <w:szCs w:val="16"/>
              </w:rPr>
            </w:pPr>
            <w:r>
              <w:rPr>
                <w:rFonts w:cs="Calibri"/>
                <w:color w:val="000000"/>
                <w:sz w:val="16"/>
                <w:szCs w:val="16"/>
              </w:rPr>
              <w:t>MAPE (månad) = 0,63</w:t>
            </w:r>
          </w:p>
        </w:tc>
        <w:tc>
          <w:tcPr>
            <w:tcW w:w="4691" w:type="dxa"/>
            <w:noWrap/>
            <w:hideMark/>
          </w:tcPr>
          <w:p w:rsidR="00E739E4" w:rsidRPr="002559D6"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MPE (månad) = -0,08</w:t>
            </w:r>
          </w:p>
        </w:tc>
      </w:tr>
    </w:tbl>
    <w:p w:rsidR="00C128AF" w:rsidRDefault="00E739E4" w:rsidP="00E739E4">
      <w:r>
        <w:t>Ovanstående modell är en exponentiell modell.</w:t>
      </w:r>
    </w:p>
    <w:p w:rsidR="00C128AF" w:rsidRDefault="00C128AF" w:rsidP="00C128AF">
      <w:r>
        <w:br w:type="page"/>
      </w:r>
    </w:p>
    <w:p w:rsidR="00E739E4" w:rsidRPr="002B630E" w:rsidRDefault="002B630E" w:rsidP="00E739E4">
      <w:pPr>
        <w:rPr>
          <w:b/>
        </w:rPr>
      </w:pPr>
      <w:r w:rsidRPr="002B630E">
        <w:rPr>
          <w:rFonts w:cs="Calibri"/>
          <w:b/>
          <w:i/>
          <w:iCs/>
          <w:color w:val="000000"/>
          <w:sz w:val="16"/>
          <w:szCs w:val="16"/>
        </w:rPr>
        <w:t xml:space="preserve">Tabell </w:t>
      </w:r>
      <w:r w:rsidR="00C128AF">
        <w:rPr>
          <w:rFonts w:cs="Calibri"/>
          <w:b/>
          <w:i/>
          <w:iCs/>
          <w:color w:val="000000"/>
          <w:sz w:val="16"/>
          <w:szCs w:val="16"/>
        </w:rPr>
        <w:t>32</w:t>
      </w:r>
      <w:r w:rsidRPr="002B630E">
        <w:rPr>
          <w:rFonts w:cs="Calibri"/>
          <w:b/>
          <w:i/>
          <w:iCs/>
          <w:color w:val="000000"/>
          <w:sz w:val="16"/>
          <w:szCs w:val="16"/>
        </w:rPr>
        <w:t>. Modell över Villkorlig dom med samhällstjänst (2002m1–2013m12)</w:t>
      </w:r>
    </w:p>
    <w:tbl>
      <w:tblPr>
        <w:tblStyle w:val="Ljuslista-dekorfrg3"/>
        <w:tblW w:w="6912" w:type="dxa"/>
        <w:tblLook w:val="04A0" w:firstRow="1" w:lastRow="0" w:firstColumn="1" w:lastColumn="0" w:noHBand="0" w:noVBand="1"/>
      </w:tblPr>
      <w:tblGrid>
        <w:gridCol w:w="2221"/>
        <w:gridCol w:w="4691"/>
      </w:tblGrid>
      <w:tr w:rsidR="00E739E4" w:rsidRPr="002559D6" w:rsidTr="006D32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559D6" w:rsidRDefault="00E739E4" w:rsidP="00E739E4">
            <w:pPr>
              <w:rPr>
                <w:rFonts w:cs="Calibri"/>
                <w:color w:val="000000"/>
                <w:sz w:val="16"/>
                <w:szCs w:val="16"/>
              </w:rPr>
            </w:pPr>
            <w:r w:rsidRPr="002559D6">
              <w:rPr>
                <w:rFonts w:cs="Calibri"/>
                <w:color w:val="000000"/>
                <w:sz w:val="16"/>
                <w:szCs w:val="16"/>
              </w:rPr>
              <w:lastRenderedPageBreak/>
              <w:t>Parameter</w:t>
            </w:r>
          </w:p>
        </w:tc>
        <w:tc>
          <w:tcPr>
            <w:tcW w:w="4691" w:type="dxa"/>
            <w:noWrap/>
            <w:hideMark/>
          </w:tcPr>
          <w:p w:rsidR="00E739E4" w:rsidRPr="002559D6" w:rsidRDefault="00E739E4" w:rsidP="00E739E4">
            <w:pPr>
              <w:jc w:val="right"/>
              <w:cnfStyle w:val="100000000000" w:firstRow="1" w:lastRow="0" w:firstColumn="0" w:lastColumn="0" w:oddVBand="0" w:evenVBand="0" w:oddHBand="0" w:evenHBand="0" w:firstRowFirstColumn="0" w:firstRowLastColumn="0" w:lastRowFirstColumn="0" w:lastRowLastColumn="0"/>
              <w:rPr>
                <w:rFonts w:cs="Calibri"/>
                <w:color w:val="000000"/>
                <w:sz w:val="16"/>
                <w:szCs w:val="16"/>
              </w:rPr>
            </w:pPr>
            <w:r w:rsidRPr="002559D6">
              <w:rPr>
                <w:rFonts w:cs="Calibri"/>
                <w:color w:val="000000"/>
                <w:sz w:val="16"/>
                <w:szCs w:val="16"/>
              </w:rPr>
              <w:t>Koefficient</w:t>
            </w:r>
          </w:p>
        </w:tc>
      </w:tr>
      <w:tr w:rsidR="00E739E4" w:rsidRPr="002B630E" w:rsidTr="006D32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B630E" w:rsidRDefault="00E739E4" w:rsidP="00E739E4">
            <w:pPr>
              <w:rPr>
                <w:rFonts w:cs="Calibri"/>
                <w:b w:val="0"/>
                <w:color w:val="000000"/>
                <w:sz w:val="16"/>
                <w:szCs w:val="16"/>
              </w:rPr>
            </w:pPr>
            <w:r w:rsidRPr="002B630E">
              <w:rPr>
                <w:rFonts w:cs="Calibri"/>
                <w:b w:val="0"/>
                <w:color w:val="000000"/>
                <w:sz w:val="16"/>
                <w:szCs w:val="16"/>
              </w:rPr>
              <w:t>Alpha</w:t>
            </w:r>
          </w:p>
        </w:tc>
        <w:tc>
          <w:tcPr>
            <w:tcW w:w="4691" w:type="dxa"/>
            <w:noWrap/>
          </w:tcPr>
          <w:p w:rsidR="00E739E4" w:rsidRPr="002B630E"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2B630E">
              <w:rPr>
                <w:rFonts w:cs="Calibri"/>
                <w:color w:val="000000"/>
                <w:sz w:val="16"/>
                <w:szCs w:val="16"/>
              </w:rPr>
              <w:t>0,999</w:t>
            </w:r>
          </w:p>
        </w:tc>
      </w:tr>
      <w:tr w:rsidR="00E739E4" w:rsidRPr="002B630E" w:rsidTr="006D32E5">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Gamma</w:t>
            </w:r>
          </w:p>
        </w:tc>
        <w:tc>
          <w:tcPr>
            <w:tcW w:w="4691" w:type="dxa"/>
            <w:noWrap/>
          </w:tcPr>
          <w:p w:rsidR="00E739E4" w:rsidRPr="002B630E" w:rsidRDefault="00E739E4"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2B630E">
              <w:rPr>
                <w:rFonts w:cs="Calibri"/>
                <w:color w:val="000000"/>
                <w:sz w:val="16"/>
                <w:szCs w:val="16"/>
              </w:rPr>
              <w:t>0,001</w:t>
            </w:r>
          </w:p>
        </w:tc>
      </w:tr>
      <w:tr w:rsidR="00E739E4" w:rsidRPr="002B630E" w:rsidTr="006D32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januari</w:t>
            </w:r>
          </w:p>
        </w:tc>
        <w:tc>
          <w:tcPr>
            <w:tcW w:w="4691" w:type="dxa"/>
            <w:noWrap/>
          </w:tcPr>
          <w:p w:rsidR="00E739E4" w:rsidRPr="002B630E" w:rsidRDefault="00DD75BD"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 xml:space="preserve">– </w:t>
            </w:r>
            <w:r w:rsidR="002B630E">
              <w:rPr>
                <w:rFonts w:cs="Calibri"/>
                <w:color w:val="000000"/>
                <w:sz w:val="16"/>
                <w:szCs w:val="16"/>
              </w:rPr>
              <w:t>93,7</w:t>
            </w:r>
          </w:p>
        </w:tc>
      </w:tr>
      <w:tr w:rsidR="00E739E4" w:rsidRPr="002B630E" w:rsidTr="006D32E5">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februari</w:t>
            </w:r>
          </w:p>
        </w:tc>
        <w:tc>
          <w:tcPr>
            <w:tcW w:w="4691" w:type="dxa"/>
            <w:noWrap/>
          </w:tcPr>
          <w:p w:rsidR="00E739E4" w:rsidRPr="002B630E" w:rsidRDefault="002B630E"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24,1</w:t>
            </w:r>
          </w:p>
        </w:tc>
      </w:tr>
      <w:tr w:rsidR="00E739E4" w:rsidRPr="002B630E" w:rsidTr="006D32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mars</w:t>
            </w:r>
          </w:p>
        </w:tc>
        <w:tc>
          <w:tcPr>
            <w:tcW w:w="4691" w:type="dxa"/>
            <w:noWrap/>
          </w:tcPr>
          <w:p w:rsidR="00E739E4" w:rsidRPr="002B630E" w:rsidRDefault="002B630E"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74,6</w:t>
            </w:r>
          </w:p>
        </w:tc>
      </w:tr>
      <w:tr w:rsidR="00E739E4" w:rsidRPr="002B630E" w:rsidTr="006D32E5">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april</w:t>
            </w:r>
          </w:p>
        </w:tc>
        <w:tc>
          <w:tcPr>
            <w:tcW w:w="4691" w:type="dxa"/>
            <w:noWrap/>
          </w:tcPr>
          <w:p w:rsidR="00E739E4" w:rsidRPr="002B630E" w:rsidRDefault="002B630E"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71,1</w:t>
            </w:r>
          </w:p>
        </w:tc>
      </w:tr>
      <w:tr w:rsidR="00E739E4" w:rsidRPr="002B630E" w:rsidTr="006D32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maj</w:t>
            </w:r>
          </w:p>
        </w:tc>
        <w:tc>
          <w:tcPr>
            <w:tcW w:w="4691" w:type="dxa"/>
            <w:noWrap/>
          </w:tcPr>
          <w:p w:rsidR="00E739E4" w:rsidRPr="002B630E" w:rsidRDefault="002B630E" w:rsidP="002B630E">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116,0</w:t>
            </w:r>
          </w:p>
        </w:tc>
      </w:tr>
      <w:tr w:rsidR="00E739E4" w:rsidRPr="002B630E" w:rsidTr="006D32E5">
        <w:trPr>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juni</w:t>
            </w:r>
          </w:p>
        </w:tc>
        <w:tc>
          <w:tcPr>
            <w:tcW w:w="4691" w:type="dxa"/>
            <w:noWrap/>
          </w:tcPr>
          <w:p w:rsidR="00E739E4" w:rsidRPr="002B630E" w:rsidRDefault="002B630E" w:rsidP="00E739E4">
            <w:pPr>
              <w:jc w:val="right"/>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91,7</w:t>
            </w:r>
          </w:p>
        </w:tc>
      </w:tr>
      <w:tr w:rsidR="00E739E4" w:rsidRPr="002B630E" w:rsidTr="006D32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juli</w:t>
            </w:r>
          </w:p>
        </w:tc>
        <w:tc>
          <w:tcPr>
            <w:tcW w:w="4691" w:type="dxa"/>
            <w:noWrap/>
          </w:tcPr>
          <w:p w:rsidR="00E739E4" w:rsidRPr="002B630E" w:rsidRDefault="00DD75BD"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 xml:space="preserve">– </w:t>
            </w:r>
            <w:r w:rsidR="002B630E">
              <w:rPr>
                <w:rFonts w:cs="Calibri"/>
                <w:color w:val="000000"/>
                <w:sz w:val="16"/>
                <w:szCs w:val="16"/>
              </w:rPr>
              <w:t>15,2</w:t>
            </w:r>
          </w:p>
        </w:tc>
      </w:tr>
      <w:tr w:rsidR="00E739E4" w:rsidRPr="002B630E" w:rsidTr="006D32E5">
        <w:trPr>
          <w:trHeight w:val="300"/>
        </w:trPr>
        <w:tc>
          <w:tcPr>
            <w:tcW w:w="2221" w:type="dxa"/>
            <w:noWrap/>
          </w:tcPr>
          <w:p w:rsidR="00E739E4" w:rsidRPr="002B630E" w:rsidRDefault="00E739E4" w:rsidP="00E739E4">
            <w:pPr>
              <w:cnfStyle w:val="001000000000" w:firstRow="0" w:lastRow="0" w:firstColumn="1" w:lastColumn="0" w:oddVBand="0" w:evenVBand="0" w:oddHBand="0" w:evenHBand="0" w:firstRowFirstColumn="0" w:firstRowLastColumn="0" w:lastRowFirstColumn="0" w:lastRowLastColumn="0"/>
              <w:rPr>
                <w:rFonts w:cs="Calibri"/>
                <w:b w:val="0"/>
                <w:color w:val="000000"/>
                <w:sz w:val="16"/>
                <w:szCs w:val="16"/>
              </w:rPr>
            </w:pPr>
            <w:r w:rsidRPr="002B630E">
              <w:rPr>
                <w:rFonts w:cs="Calibri"/>
                <w:b w:val="0"/>
                <w:color w:val="000000"/>
                <w:sz w:val="16"/>
                <w:szCs w:val="16"/>
              </w:rPr>
              <w:t>Additiv säsong, augusti</w:t>
            </w:r>
          </w:p>
        </w:tc>
        <w:tc>
          <w:tcPr>
            <w:tcW w:w="4691" w:type="dxa"/>
            <w:noWrap/>
          </w:tcPr>
          <w:p w:rsidR="00E739E4" w:rsidRPr="002B630E" w:rsidRDefault="00DD75BD" w:rsidP="00E739E4">
            <w:pPr>
              <w:jc w:val="right"/>
              <w:rPr>
                <w:rFonts w:cs="Calibri"/>
                <w:color w:val="000000"/>
                <w:sz w:val="16"/>
                <w:szCs w:val="16"/>
              </w:rPr>
            </w:pPr>
            <w:r>
              <w:rPr>
                <w:rFonts w:cs="Calibri"/>
                <w:color w:val="000000"/>
                <w:sz w:val="16"/>
                <w:szCs w:val="16"/>
              </w:rPr>
              <w:t xml:space="preserve">– </w:t>
            </w:r>
            <w:r w:rsidR="002B630E">
              <w:rPr>
                <w:rFonts w:cs="Calibri"/>
                <w:color w:val="000000"/>
                <w:sz w:val="16"/>
                <w:szCs w:val="16"/>
              </w:rPr>
              <w:t>129,4</w:t>
            </w:r>
          </w:p>
        </w:tc>
      </w:tr>
      <w:tr w:rsidR="00E739E4" w:rsidRPr="002B630E" w:rsidTr="006D32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september</w:t>
            </w:r>
          </w:p>
        </w:tc>
        <w:tc>
          <w:tcPr>
            <w:tcW w:w="4691" w:type="dxa"/>
            <w:noWrap/>
          </w:tcPr>
          <w:p w:rsidR="00E739E4" w:rsidRPr="002B630E" w:rsidRDefault="00DD75BD"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 xml:space="preserve">– </w:t>
            </w:r>
            <w:r w:rsidR="002B630E">
              <w:rPr>
                <w:rFonts w:cs="Calibri"/>
                <w:color w:val="000000"/>
                <w:sz w:val="16"/>
                <w:szCs w:val="16"/>
              </w:rPr>
              <w:t>75,5</w:t>
            </w:r>
          </w:p>
        </w:tc>
        <w:bookmarkStart w:id="1" w:name="_GoBack"/>
        <w:bookmarkEnd w:id="1"/>
      </w:tr>
      <w:tr w:rsidR="00E739E4" w:rsidRPr="002B630E" w:rsidTr="006D32E5">
        <w:trPr>
          <w:trHeight w:val="300"/>
        </w:trPr>
        <w:tc>
          <w:tcPr>
            <w:tcW w:w="2221" w:type="dxa"/>
            <w:noWrap/>
          </w:tcPr>
          <w:p w:rsidR="00E739E4" w:rsidRPr="002B630E" w:rsidRDefault="00E739E4" w:rsidP="00E739E4">
            <w:pPr>
              <w:cnfStyle w:val="001000000000" w:firstRow="0" w:lastRow="0" w:firstColumn="1" w:lastColumn="0" w:oddVBand="0" w:evenVBand="0" w:oddHBand="0" w:evenHBand="0" w:firstRowFirstColumn="0" w:firstRowLastColumn="0" w:lastRowFirstColumn="0" w:lastRowLastColumn="0"/>
              <w:rPr>
                <w:rFonts w:cs="Calibri"/>
                <w:b w:val="0"/>
                <w:color w:val="000000"/>
                <w:sz w:val="16"/>
                <w:szCs w:val="16"/>
              </w:rPr>
            </w:pPr>
            <w:r w:rsidRPr="002B630E">
              <w:rPr>
                <w:rFonts w:cs="Calibri"/>
                <w:b w:val="0"/>
                <w:color w:val="000000"/>
                <w:sz w:val="16"/>
                <w:szCs w:val="16"/>
              </w:rPr>
              <w:t>Additiv säsong, oktober</w:t>
            </w:r>
          </w:p>
        </w:tc>
        <w:tc>
          <w:tcPr>
            <w:tcW w:w="4691" w:type="dxa"/>
            <w:noWrap/>
          </w:tcPr>
          <w:p w:rsidR="00E739E4" w:rsidRPr="002B630E" w:rsidRDefault="00DD75BD" w:rsidP="00E739E4">
            <w:pPr>
              <w:jc w:val="right"/>
              <w:rPr>
                <w:rFonts w:cs="Calibri"/>
                <w:color w:val="000000"/>
                <w:sz w:val="16"/>
                <w:szCs w:val="16"/>
              </w:rPr>
            </w:pPr>
            <w:r>
              <w:rPr>
                <w:rFonts w:cs="Calibri"/>
                <w:color w:val="000000"/>
                <w:sz w:val="16"/>
                <w:szCs w:val="16"/>
              </w:rPr>
              <w:t xml:space="preserve">– </w:t>
            </w:r>
            <w:r w:rsidR="002B630E">
              <w:rPr>
                <w:rFonts w:cs="Calibri"/>
                <w:color w:val="000000"/>
                <w:sz w:val="16"/>
                <w:szCs w:val="16"/>
              </w:rPr>
              <w:t>48,7</w:t>
            </w:r>
          </w:p>
        </w:tc>
      </w:tr>
      <w:tr w:rsidR="00E739E4" w:rsidRPr="002B630E" w:rsidTr="006D32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1" w:type="dxa"/>
            <w:noWrap/>
          </w:tcPr>
          <w:p w:rsidR="00E739E4" w:rsidRPr="002B630E" w:rsidRDefault="00E739E4" w:rsidP="00E739E4">
            <w:pPr>
              <w:rPr>
                <w:rFonts w:cs="Calibri"/>
                <w:b w:val="0"/>
                <w:color w:val="000000"/>
                <w:sz w:val="16"/>
                <w:szCs w:val="16"/>
              </w:rPr>
            </w:pPr>
            <w:r w:rsidRPr="002B630E">
              <w:rPr>
                <w:rFonts w:cs="Calibri"/>
                <w:b w:val="0"/>
                <w:color w:val="000000"/>
                <w:sz w:val="16"/>
                <w:szCs w:val="16"/>
              </w:rPr>
              <w:t>Additiv säsong, november</w:t>
            </w:r>
          </w:p>
        </w:tc>
        <w:tc>
          <w:tcPr>
            <w:tcW w:w="4691" w:type="dxa"/>
            <w:noWrap/>
          </w:tcPr>
          <w:p w:rsidR="00E739E4" w:rsidRPr="002B630E" w:rsidRDefault="00DD75BD"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 xml:space="preserve">– </w:t>
            </w:r>
            <w:r w:rsidR="002B630E">
              <w:rPr>
                <w:rFonts w:cs="Calibri"/>
                <w:color w:val="000000"/>
                <w:sz w:val="16"/>
                <w:szCs w:val="16"/>
              </w:rPr>
              <w:t>11,0</w:t>
            </w:r>
          </w:p>
        </w:tc>
      </w:tr>
      <w:tr w:rsidR="00E739E4" w:rsidRPr="002B630E" w:rsidTr="006D32E5">
        <w:trPr>
          <w:trHeight w:val="300"/>
        </w:trPr>
        <w:tc>
          <w:tcPr>
            <w:tcW w:w="2221" w:type="dxa"/>
            <w:noWrap/>
          </w:tcPr>
          <w:p w:rsidR="00E739E4" w:rsidRPr="002B630E" w:rsidRDefault="00E739E4" w:rsidP="00E739E4">
            <w:pPr>
              <w:cnfStyle w:val="001000000000" w:firstRow="0" w:lastRow="0" w:firstColumn="1" w:lastColumn="0" w:oddVBand="0" w:evenVBand="0" w:oddHBand="0" w:evenHBand="0" w:firstRowFirstColumn="0" w:firstRowLastColumn="0" w:lastRowFirstColumn="0" w:lastRowLastColumn="0"/>
              <w:rPr>
                <w:rFonts w:cs="Calibri"/>
                <w:b w:val="0"/>
                <w:color w:val="000000"/>
                <w:sz w:val="16"/>
                <w:szCs w:val="16"/>
              </w:rPr>
            </w:pPr>
            <w:r w:rsidRPr="002B630E">
              <w:rPr>
                <w:rFonts w:cs="Calibri"/>
                <w:b w:val="0"/>
                <w:color w:val="000000"/>
                <w:sz w:val="16"/>
                <w:szCs w:val="16"/>
              </w:rPr>
              <w:t>Additiv säsong, december</w:t>
            </w:r>
          </w:p>
        </w:tc>
        <w:tc>
          <w:tcPr>
            <w:tcW w:w="4691" w:type="dxa"/>
            <w:noWrap/>
          </w:tcPr>
          <w:p w:rsidR="00E739E4" w:rsidRPr="002B630E" w:rsidRDefault="00DD75BD" w:rsidP="00E739E4">
            <w:pPr>
              <w:jc w:val="right"/>
              <w:rPr>
                <w:rFonts w:cs="Calibri"/>
                <w:color w:val="000000"/>
                <w:sz w:val="16"/>
                <w:szCs w:val="16"/>
              </w:rPr>
            </w:pPr>
            <w:r>
              <w:rPr>
                <w:rFonts w:cs="Calibri"/>
                <w:color w:val="000000"/>
                <w:sz w:val="16"/>
                <w:szCs w:val="16"/>
              </w:rPr>
              <w:t xml:space="preserve">– </w:t>
            </w:r>
            <w:r w:rsidR="002B630E">
              <w:rPr>
                <w:rFonts w:cs="Calibri"/>
                <w:color w:val="000000"/>
                <w:sz w:val="16"/>
                <w:szCs w:val="16"/>
              </w:rPr>
              <w:t>3,9</w:t>
            </w:r>
          </w:p>
        </w:tc>
      </w:tr>
      <w:tr w:rsidR="00E739E4" w:rsidRPr="002B630E" w:rsidTr="006D32E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21" w:type="dxa"/>
            <w:noWrap/>
            <w:hideMark/>
          </w:tcPr>
          <w:p w:rsidR="00E739E4" w:rsidRPr="002B630E" w:rsidRDefault="00E739E4" w:rsidP="00E739E4">
            <w:pPr>
              <w:rPr>
                <w:rFonts w:cs="Calibri"/>
                <w:b w:val="0"/>
                <w:color w:val="000000"/>
                <w:sz w:val="16"/>
                <w:szCs w:val="16"/>
              </w:rPr>
            </w:pPr>
            <w:r w:rsidRPr="002B630E">
              <w:rPr>
                <w:rFonts w:cs="Calibri"/>
                <w:b w:val="0"/>
                <w:color w:val="000000"/>
                <w:sz w:val="16"/>
                <w:szCs w:val="16"/>
              </w:rPr>
              <w:t>MAPE (månad) = 4,19</w:t>
            </w:r>
          </w:p>
        </w:tc>
        <w:tc>
          <w:tcPr>
            <w:tcW w:w="4691" w:type="dxa"/>
            <w:noWrap/>
            <w:hideMark/>
          </w:tcPr>
          <w:p w:rsidR="00E739E4" w:rsidRPr="002B630E" w:rsidRDefault="00E739E4" w:rsidP="00E739E4">
            <w:pPr>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2B630E">
              <w:rPr>
                <w:rFonts w:cs="Calibri"/>
                <w:color w:val="000000"/>
                <w:sz w:val="16"/>
                <w:szCs w:val="16"/>
              </w:rPr>
              <w:t xml:space="preserve">MPE (månad) </w:t>
            </w:r>
            <w:r w:rsidR="00DD75BD">
              <w:rPr>
                <w:rFonts w:cs="Calibri"/>
                <w:color w:val="000000"/>
                <w:sz w:val="16"/>
                <w:szCs w:val="16"/>
              </w:rPr>
              <w:t xml:space="preserve">= </w:t>
            </w:r>
            <w:r w:rsidR="00DD75BD">
              <w:rPr>
                <w:rFonts w:cs="Calibri"/>
                <w:color w:val="000000"/>
                <w:sz w:val="16"/>
                <w:szCs w:val="16"/>
              </w:rPr>
              <w:t>–</w:t>
            </w:r>
            <w:r w:rsidR="00DD75BD">
              <w:rPr>
                <w:rFonts w:cs="Calibri"/>
                <w:color w:val="000000"/>
                <w:sz w:val="16"/>
                <w:szCs w:val="16"/>
              </w:rPr>
              <w:t xml:space="preserve"> </w:t>
            </w:r>
            <w:r w:rsidRPr="002B630E">
              <w:rPr>
                <w:rFonts w:cs="Calibri"/>
                <w:color w:val="000000"/>
                <w:sz w:val="16"/>
                <w:szCs w:val="16"/>
              </w:rPr>
              <w:t>0,15</w:t>
            </w:r>
          </w:p>
        </w:tc>
      </w:tr>
    </w:tbl>
    <w:p w:rsidR="00E739E4" w:rsidRDefault="00E739E4" w:rsidP="00E739E4">
      <w:r>
        <w:t>Ovanstående modell är en modell med exponentiell utjämning.</w:t>
      </w:r>
    </w:p>
    <w:sectPr w:rsidR="00E739E4" w:rsidSect="00E73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5D8"/>
    <w:multiLevelType w:val="hybridMultilevel"/>
    <w:tmpl w:val="9334D74C"/>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2693068"/>
    <w:multiLevelType w:val="hybridMultilevel"/>
    <w:tmpl w:val="7A4AF62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507088F"/>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3">
    <w:nsid w:val="06E360CB"/>
    <w:multiLevelType w:val="hybridMultilevel"/>
    <w:tmpl w:val="142074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07A62E96"/>
    <w:multiLevelType w:val="hybridMultilevel"/>
    <w:tmpl w:val="FCCA5CC4"/>
    <w:lvl w:ilvl="0" w:tplc="041D0001">
      <w:start w:val="1"/>
      <w:numFmt w:val="bullet"/>
      <w:lvlText w:val=""/>
      <w:lvlJc w:val="left"/>
      <w:pPr>
        <w:tabs>
          <w:tab w:val="num" w:pos="1004"/>
        </w:tabs>
        <w:ind w:left="1004" w:hanging="360"/>
      </w:pPr>
      <w:rPr>
        <w:rFonts w:ascii="Symbol" w:hAnsi="Symbol" w:hint="default"/>
      </w:rPr>
    </w:lvl>
    <w:lvl w:ilvl="1" w:tplc="041D0003">
      <w:start w:val="1"/>
      <w:numFmt w:val="bullet"/>
      <w:lvlText w:val="o"/>
      <w:lvlJc w:val="left"/>
      <w:pPr>
        <w:tabs>
          <w:tab w:val="num" w:pos="1724"/>
        </w:tabs>
        <w:ind w:left="1724" w:hanging="360"/>
      </w:pPr>
      <w:rPr>
        <w:rFonts w:ascii="Courier New" w:hAnsi="Courier New" w:cs="Courier New" w:hint="default"/>
      </w:rPr>
    </w:lvl>
    <w:lvl w:ilvl="2" w:tplc="041D0005">
      <w:start w:val="1"/>
      <w:numFmt w:val="bullet"/>
      <w:lvlText w:val=""/>
      <w:lvlJc w:val="left"/>
      <w:pPr>
        <w:tabs>
          <w:tab w:val="num" w:pos="2444"/>
        </w:tabs>
        <w:ind w:left="2444" w:hanging="360"/>
      </w:pPr>
      <w:rPr>
        <w:rFonts w:ascii="Wingdings" w:hAnsi="Wingdings" w:hint="default"/>
      </w:rPr>
    </w:lvl>
    <w:lvl w:ilvl="3" w:tplc="041D0001">
      <w:start w:val="1"/>
      <w:numFmt w:val="bullet"/>
      <w:lvlText w:val=""/>
      <w:lvlJc w:val="left"/>
      <w:pPr>
        <w:tabs>
          <w:tab w:val="num" w:pos="3164"/>
        </w:tabs>
        <w:ind w:left="3164" w:hanging="360"/>
      </w:pPr>
      <w:rPr>
        <w:rFonts w:ascii="Symbol" w:hAnsi="Symbol" w:hint="default"/>
      </w:rPr>
    </w:lvl>
    <w:lvl w:ilvl="4" w:tplc="041D0003">
      <w:start w:val="1"/>
      <w:numFmt w:val="bullet"/>
      <w:lvlText w:val="o"/>
      <w:lvlJc w:val="left"/>
      <w:pPr>
        <w:tabs>
          <w:tab w:val="num" w:pos="3884"/>
        </w:tabs>
        <w:ind w:left="3884" w:hanging="360"/>
      </w:pPr>
      <w:rPr>
        <w:rFonts w:ascii="Courier New" w:hAnsi="Courier New" w:cs="Courier New" w:hint="default"/>
      </w:rPr>
    </w:lvl>
    <w:lvl w:ilvl="5" w:tplc="041D0005">
      <w:start w:val="1"/>
      <w:numFmt w:val="bullet"/>
      <w:lvlText w:val=""/>
      <w:lvlJc w:val="left"/>
      <w:pPr>
        <w:tabs>
          <w:tab w:val="num" w:pos="4604"/>
        </w:tabs>
        <w:ind w:left="4604" w:hanging="360"/>
      </w:pPr>
      <w:rPr>
        <w:rFonts w:ascii="Wingdings" w:hAnsi="Wingdings" w:hint="default"/>
      </w:rPr>
    </w:lvl>
    <w:lvl w:ilvl="6" w:tplc="041D0001">
      <w:start w:val="1"/>
      <w:numFmt w:val="bullet"/>
      <w:lvlText w:val=""/>
      <w:lvlJc w:val="left"/>
      <w:pPr>
        <w:tabs>
          <w:tab w:val="num" w:pos="5324"/>
        </w:tabs>
        <w:ind w:left="5324" w:hanging="360"/>
      </w:pPr>
      <w:rPr>
        <w:rFonts w:ascii="Symbol" w:hAnsi="Symbol" w:hint="default"/>
      </w:rPr>
    </w:lvl>
    <w:lvl w:ilvl="7" w:tplc="041D0003">
      <w:start w:val="1"/>
      <w:numFmt w:val="bullet"/>
      <w:lvlText w:val="o"/>
      <w:lvlJc w:val="left"/>
      <w:pPr>
        <w:tabs>
          <w:tab w:val="num" w:pos="6044"/>
        </w:tabs>
        <w:ind w:left="6044" w:hanging="360"/>
      </w:pPr>
      <w:rPr>
        <w:rFonts w:ascii="Courier New" w:hAnsi="Courier New" w:cs="Courier New" w:hint="default"/>
      </w:rPr>
    </w:lvl>
    <w:lvl w:ilvl="8" w:tplc="041D0005">
      <w:start w:val="1"/>
      <w:numFmt w:val="bullet"/>
      <w:lvlText w:val=""/>
      <w:lvlJc w:val="left"/>
      <w:pPr>
        <w:tabs>
          <w:tab w:val="num" w:pos="6764"/>
        </w:tabs>
        <w:ind w:left="6764" w:hanging="360"/>
      </w:pPr>
      <w:rPr>
        <w:rFonts w:ascii="Wingdings" w:hAnsi="Wingdings" w:hint="default"/>
      </w:rPr>
    </w:lvl>
  </w:abstractNum>
  <w:abstractNum w:abstractNumId="5">
    <w:nsid w:val="0CE557B7"/>
    <w:multiLevelType w:val="hybridMultilevel"/>
    <w:tmpl w:val="B3F09A0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nsid w:val="19661FE9"/>
    <w:multiLevelType w:val="hybridMultilevel"/>
    <w:tmpl w:val="211EE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B233F46"/>
    <w:multiLevelType w:val="hybridMultilevel"/>
    <w:tmpl w:val="251E43E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21707DFB"/>
    <w:multiLevelType w:val="hybridMultilevel"/>
    <w:tmpl w:val="691E03B0"/>
    <w:lvl w:ilvl="0" w:tplc="10C0066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3A237C8"/>
    <w:multiLevelType w:val="hybridMultilevel"/>
    <w:tmpl w:val="FEA478F4"/>
    <w:lvl w:ilvl="0" w:tplc="27B46A28">
      <w:start w:val="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7F81CE2"/>
    <w:multiLevelType w:val="hybridMultilevel"/>
    <w:tmpl w:val="9E2CA48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F464357"/>
    <w:multiLevelType w:val="hybridMultilevel"/>
    <w:tmpl w:val="69345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0863856"/>
    <w:multiLevelType w:val="hybridMultilevel"/>
    <w:tmpl w:val="FCD074F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31EC7AB9"/>
    <w:multiLevelType w:val="hybridMultilevel"/>
    <w:tmpl w:val="D5828C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nsid w:val="38251488"/>
    <w:multiLevelType w:val="hybridMultilevel"/>
    <w:tmpl w:val="C232A75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A0C1B6B"/>
    <w:multiLevelType w:val="hybridMultilevel"/>
    <w:tmpl w:val="0E726FA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AE4756E"/>
    <w:multiLevelType w:val="hybridMultilevel"/>
    <w:tmpl w:val="AD8C7D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1BF0B4C"/>
    <w:multiLevelType w:val="hybridMultilevel"/>
    <w:tmpl w:val="133E986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284127A"/>
    <w:multiLevelType w:val="hybridMultilevel"/>
    <w:tmpl w:val="28406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2C66154"/>
    <w:multiLevelType w:val="hybridMultilevel"/>
    <w:tmpl w:val="26864AA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nsid w:val="43363294"/>
    <w:multiLevelType w:val="hybridMultilevel"/>
    <w:tmpl w:val="3C8AF7DE"/>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nsid w:val="439626CE"/>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22">
    <w:nsid w:val="46DD5E3A"/>
    <w:multiLevelType w:val="hybridMultilevel"/>
    <w:tmpl w:val="2F703700"/>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nsid w:val="476B1034"/>
    <w:multiLevelType w:val="hybridMultilevel"/>
    <w:tmpl w:val="8BD2A37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AAD155A"/>
    <w:multiLevelType w:val="hybridMultilevel"/>
    <w:tmpl w:val="C090E95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CEC4BB2"/>
    <w:multiLevelType w:val="hybridMultilevel"/>
    <w:tmpl w:val="45BCC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5DF032D"/>
    <w:multiLevelType w:val="hybridMultilevel"/>
    <w:tmpl w:val="436037CC"/>
    <w:lvl w:ilvl="0" w:tplc="5B0A142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7D2603C"/>
    <w:multiLevelType w:val="singleLevel"/>
    <w:tmpl w:val="041D000F"/>
    <w:lvl w:ilvl="0">
      <w:start w:val="1"/>
      <w:numFmt w:val="decimal"/>
      <w:lvlText w:val="%1."/>
      <w:lvlJc w:val="left"/>
      <w:pPr>
        <w:tabs>
          <w:tab w:val="num" w:pos="360"/>
        </w:tabs>
        <w:ind w:left="360" w:hanging="360"/>
      </w:pPr>
    </w:lvl>
  </w:abstractNum>
  <w:abstractNum w:abstractNumId="28">
    <w:nsid w:val="59D22646"/>
    <w:multiLevelType w:val="hybridMultilevel"/>
    <w:tmpl w:val="E604C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ABB1384"/>
    <w:multiLevelType w:val="hybridMultilevel"/>
    <w:tmpl w:val="19041FC4"/>
    <w:lvl w:ilvl="0" w:tplc="22987014">
      <w:start w:val="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ADC7FAC"/>
    <w:multiLevelType w:val="hybridMultilevel"/>
    <w:tmpl w:val="80FEED6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5B3C6199"/>
    <w:multiLevelType w:val="hybridMultilevel"/>
    <w:tmpl w:val="C7F0D8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nsid w:val="5C8347C4"/>
    <w:multiLevelType w:val="hybridMultilevel"/>
    <w:tmpl w:val="F1CEF06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D1E1432"/>
    <w:multiLevelType w:val="hybridMultilevel"/>
    <w:tmpl w:val="EBDE69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ED42305"/>
    <w:multiLevelType w:val="hybridMultilevel"/>
    <w:tmpl w:val="918E7BA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635B5C01"/>
    <w:multiLevelType w:val="hybridMultilevel"/>
    <w:tmpl w:val="9B50F93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50B13FA"/>
    <w:multiLevelType w:val="hybridMultilevel"/>
    <w:tmpl w:val="1916CA0A"/>
    <w:lvl w:ilvl="0" w:tplc="2C066C88">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5D7357C"/>
    <w:multiLevelType w:val="hybridMultilevel"/>
    <w:tmpl w:val="2CC8563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8FD0D1C"/>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39">
    <w:nsid w:val="6DBB70AD"/>
    <w:multiLevelType w:val="hybridMultilevel"/>
    <w:tmpl w:val="C5944C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6197B2C"/>
    <w:multiLevelType w:val="hybridMultilevel"/>
    <w:tmpl w:val="573C1D3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1">
    <w:nsid w:val="77553DAE"/>
    <w:multiLevelType w:val="hybridMultilevel"/>
    <w:tmpl w:val="60EE06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78BA4537"/>
    <w:multiLevelType w:val="hybridMultilevel"/>
    <w:tmpl w:val="09263C6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9CB30C5"/>
    <w:multiLevelType w:val="hybridMultilevel"/>
    <w:tmpl w:val="6F34B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C454518"/>
    <w:multiLevelType w:val="hybridMultilevel"/>
    <w:tmpl w:val="DA685112"/>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1"/>
  </w:num>
  <w:num w:numId="2">
    <w:abstractNumId w:val="30"/>
  </w:num>
  <w:num w:numId="3">
    <w:abstractNumId w:val="0"/>
  </w:num>
  <w:num w:numId="4">
    <w:abstractNumId w:val="24"/>
  </w:num>
  <w:num w:numId="5">
    <w:abstractNumId w:val="33"/>
  </w:num>
  <w:num w:numId="6">
    <w:abstractNumId w:val="17"/>
  </w:num>
  <w:num w:numId="7">
    <w:abstractNumId w:val="27"/>
  </w:num>
  <w:num w:numId="8">
    <w:abstractNumId w:val="16"/>
  </w:num>
  <w:num w:numId="9">
    <w:abstractNumId w:val="38"/>
  </w:num>
  <w:num w:numId="10">
    <w:abstractNumId w:val="18"/>
  </w:num>
  <w:num w:numId="11">
    <w:abstractNumId w:val="23"/>
  </w:num>
  <w:num w:numId="12">
    <w:abstractNumId w:val="22"/>
  </w:num>
  <w:num w:numId="13">
    <w:abstractNumId w:val="35"/>
  </w:num>
  <w:num w:numId="14">
    <w:abstractNumId w:val="2"/>
  </w:num>
  <w:num w:numId="15">
    <w:abstractNumId w:val="1"/>
  </w:num>
  <w:num w:numId="16">
    <w:abstractNumId w:val="4"/>
  </w:num>
  <w:num w:numId="17">
    <w:abstractNumId w:val="39"/>
  </w:num>
  <w:num w:numId="18">
    <w:abstractNumId w:val="37"/>
  </w:num>
  <w:num w:numId="19">
    <w:abstractNumId w:val="13"/>
  </w:num>
  <w:num w:numId="20">
    <w:abstractNumId w:val="5"/>
  </w:num>
  <w:num w:numId="21">
    <w:abstractNumId w:val="12"/>
  </w:num>
  <w:num w:numId="22">
    <w:abstractNumId w:val="14"/>
  </w:num>
  <w:num w:numId="23">
    <w:abstractNumId w:val="44"/>
  </w:num>
  <w:num w:numId="24">
    <w:abstractNumId w:val="15"/>
  </w:num>
  <w:num w:numId="25">
    <w:abstractNumId w:val="42"/>
  </w:num>
  <w:num w:numId="26">
    <w:abstractNumId w:val="36"/>
  </w:num>
  <w:num w:numId="27">
    <w:abstractNumId w:val="28"/>
  </w:num>
  <w:num w:numId="28">
    <w:abstractNumId w:val="32"/>
  </w:num>
  <w:num w:numId="29">
    <w:abstractNumId w:val="8"/>
  </w:num>
  <w:num w:numId="30">
    <w:abstractNumId w:val="7"/>
  </w:num>
  <w:num w:numId="31">
    <w:abstractNumId w:val="19"/>
  </w:num>
  <w:num w:numId="32">
    <w:abstractNumId w:val="20"/>
  </w:num>
  <w:num w:numId="33">
    <w:abstractNumId w:val="34"/>
  </w:num>
  <w:num w:numId="34">
    <w:abstractNumId w:val="10"/>
  </w:num>
  <w:num w:numId="35">
    <w:abstractNumId w:val="40"/>
  </w:num>
  <w:num w:numId="36">
    <w:abstractNumId w:val="2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1"/>
  </w:num>
  <w:num w:numId="41">
    <w:abstractNumId w:val="9"/>
  </w:num>
  <w:num w:numId="42">
    <w:abstractNumId w:val="11"/>
  </w:num>
  <w:num w:numId="43">
    <w:abstractNumId w:val="6"/>
  </w:num>
  <w:num w:numId="44">
    <w:abstractNumId w:val="41"/>
  </w:num>
  <w:num w:numId="45">
    <w:abstractNumId w:val="25"/>
  </w:num>
  <w:num w:numId="46">
    <w:abstractNumId w:val="29"/>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0A"/>
    <w:rsid w:val="00013B42"/>
    <w:rsid w:val="00053C21"/>
    <w:rsid w:val="00080BE6"/>
    <w:rsid w:val="000B75AB"/>
    <w:rsid w:val="000F3713"/>
    <w:rsid w:val="00196383"/>
    <w:rsid w:val="00267B6D"/>
    <w:rsid w:val="002B630E"/>
    <w:rsid w:val="0031594F"/>
    <w:rsid w:val="00352C0A"/>
    <w:rsid w:val="0038029C"/>
    <w:rsid w:val="00461D96"/>
    <w:rsid w:val="00613060"/>
    <w:rsid w:val="0064651B"/>
    <w:rsid w:val="006D32E5"/>
    <w:rsid w:val="00707B97"/>
    <w:rsid w:val="007605DE"/>
    <w:rsid w:val="00770B4A"/>
    <w:rsid w:val="00795FAF"/>
    <w:rsid w:val="007A4925"/>
    <w:rsid w:val="007F6A4D"/>
    <w:rsid w:val="007F7FFC"/>
    <w:rsid w:val="00802C20"/>
    <w:rsid w:val="00860CFD"/>
    <w:rsid w:val="00894A14"/>
    <w:rsid w:val="008D00DF"/>
    <w:rsid w:val="008F261B"/>
    <w:rsid w:val="009324E4"/>
    <w:rsid w:val="00933E8E"/>
    <w:rsid w:val="0096518D"/>
    <w:rsid w:val="00977716"/>
    <w:rsid w:val="00A0779F"/>
    <w:rsid w:val="00A145AA"/>
    <w:rsid w:val="00A462F0"/>
    <w:rsid w:val="00A677A8"/>
    <w:rsid w:val="00AB36A9"/>
    <w:rsid w:val="00AB3D39"/>
    <w:rsid w:val="00B3597B"/>
    <w:rsid w:val="00B655F2"/>
    <w:rsid w:val="00BF7692"/>
    <w:rsid w:val="00C128AF"/>
    <w:rsid w:val="00C47F5D"/>
    <w:rsid w:val="00C739F8"/>
    <w:rsid w:val="00CA183A"/>
    <w:rsid w:val="00CE6931"/>
    <w:rsid w:val="00D52CCD"/>
    <w:rsid w:val="00D8286F"/>
    <w:rsid w:val="00D94861"/>
    <w:rsid w:val="00DD75BD"/>
    <w:rsid w:val="00E052C5"/>
    <w:rsid w:val="00E062FB"/>
    <w:rsid w:val="00E2628B"/>
    <w:rsid w:val="00E32D11"/>
    <w:rsid w:val="00E739E4"/>
    <w:rsid w:val="00E76121"/>
    <w:rsid w:val="00EA27B5"/>
    <w:rsid w:val="00ED0BFE"/>
    <w:rsid w:val="00F00BD2"/>
    <w:rsid w:val="00F25C47"/>
    <w:rsid w:val="00F5693E"/>
    <w:rsid w:val="00F76224"/>
    <w:rsid w:val="00F90B66"/>
    <w:rsid w:val="00FB33C7"/>
    <w:rsid w:val="00FC12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0A"/>
  </w:style>
  <w:style w:type="paragraph" w:styleId="Rubrik1">
    <w:name w:val="heading 1"/>
    <w:basedOn w:val="Normal"/>
    <w:next w:val="Normal"/>
    <w:link w:val="Rubrik1Char"/>
    <w:uiPriority w:val="9"/>
    <w:qFormat/>
    <w:rsid w:val="00352C0A"/>
    <w:pPr>
      <w:keepNext/>
      <w:keepLines/>
      <w:spacing w:before="480" w:after="0"/>
      <w:outlineLvl w:val="0"/>
    </w:pPr>
    <w:rPr>
      <w:rFonts w:asciiTheme="majorHAnsi" w:eastAsiaTheme="majorEastAsia" w:hAnsiTheme="majorHAnsi" w:cstheme="majorBidi"/>
      <w:b/>
      <w:bCs/>
      <w:caps/>
      <w:color w:val="365F91" w:themeColor="accent1" w:themeShade="BF"/>
      <w:sz w:val="28"/>
      <w:szCs w:val="28"/>
    </w:rPr>
  </w:style>
  <w:style w:type="paragraph" w:styleId="Rubrik2">
    <w:name w:val="heading 2"/>
    <w:basedOn w:val="Normal"/>
    <w:next w:val="Normal"/>
    <w:link w:val="Rubrik2Char"/>
    <w:uiPriority w:val="9"/>
    <w:unhideWhenUsed/>
    <w:qFormat/>
    <w:rsid w:val="00352C0A"/>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paragraph" w:styleId="Rubrik3">
    <w:name w:val="heading 3"/>
    <w:basedOn w:val="Normal"/>
    <w:next w:val="Normal"/>
    <w:link w:val="Rubrik3Char"/>
    <w:unhideWhenUsed/>
    <w:qFormat/>
    <w:rsid w:val="00352C0A"/>
    <w:pPr>
      <w:keepNext/>
      <w:keepLines/>
      <w:spacing w:before="200" w:after="0"/>
      <w:outlineLvl w:val="2"/>
    </w:pPr>
    <w:rPr>
      <w:rFonts w:asciiTheme="majorHAnsi" w:eastAsiaTheme="majorEastAsia" w:hAnsiTheme="majorHAnsi" w:cstheme="majorBidi"/>
      <w:b/>
      <w:bCs/>
      <w:color w:val="365F91" w:themeColor="accent1" w:themeShade="BF"/>
    </w:rPr>
  </w:style>
  <w:style w:type="paragraph" w:styleId="Rubrik4">
    <w:name w:val="heading 4"/>
    <w:basedOn w:val="Normal"/>
    <w:next w:val="Normal"/>
    <w:link w:val="Rubrik4Char"/>
    <w:unhideWhenUsed/>
    <w:qFormat/>
    <w:rsid w:val="00352C0A"/>
    <w:pPr>
      <w:keepNext/>
      <w:keepLines/>
      <w:spacing w:before="200" w:after="0"/>
      <w:outlineLvl w:val="3"/>
    </w:pPr>
    <w:rPr>
      <w:rFonts w:asciiTheme="majorHAnsi" w:eastAsiaTheme="majorEastAsia" w:hAnsiTheme="majorHAnsi" w:cstheme="majorBidi"/>
      <w:b/>
      <w:bCs/>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52C0A"/>
    <w:rPr>
      <w:rFonts w:asciiTheme="majorHAnsi" w:eastAsiaTheme="majorEastAsia" w:hAnsiTheme="majorHAnsi" w:cstheme="majorBidi"/>
      <w:b/>
      <w:bCs/>
      <w:caps/>
      <w:color w:val="365F91" w:themeColor="accent1" w:themeShade="BF"/>
      <w:sz w:val="28"/>
      <w:szCs w:val="28"/>
    </w:rPr>
  </w:style>
  <w:style w:type="character" w:customStyle="1" w:styleId="Rubrik2Char">
    <w:name w:val="Rubrik 2 Char"/>
    <w:basedOn w:val="Standardstycketeckensnitt"/>
    <w:link w:val="Rubrik2"/>
    <w:uiPriority w:val="9"/>
    <w:rsid w:val="00352C0A"/>
    <w:rPr>
      <w:rFonts w:asciiTheme="majorHAnsi" w:eastAsiaTheme="majorEastAsia" w:hAnsiTheme="majorHAnsi" w:cstheme="majorBidi"/>
      <w:b/>
      <w:bCs/>
      <w:color w:val="365F91" w:themeColor="accent1" w:themeShade="BF"/>
      <w:sz w:val="26"/>
      <w:szCs w:val="26"/>
    </w:rPr>
  </w:style>
  <w:style w:type="character" w:customStyle="1" w:styleId="Rubrik3Char">
    <w:name w:val="Rubrik 3 Char"/>
    <w:basedOn w:val="Standardstycketeckensnitt"/>
    <w:link w:val="Rubrik3"/>
    <w:rsid w:val="00352C0A"/>
    <w:rPr>
      <w:rFonts w:asciiTheme="majorHAnsi" w:eastAsiaTheme="majorEastAsia" w:hAnsiTheme="majorHAnsi" w:cstheme="majorBidi"/>
      <w:b/>
      <w:bCs/>
      <w:color w:val="365F91" w:themeColor="accent1" w:themeShade="BF"/>
    </w:rPr>
  </w:style>
  <w:style w:type="character" w:customStyle="1" w:styleId="Rubrik4Char">
    <w:name w:val="Rubrik 4 Char"/>
    <w:basedOn w:val="Standardstycketeckensnitt"/>
    <w:link w:val="Rubrik4"/>
    <w:rsid w:val="00352C0A"/>
    <w:rPr>
      <w:rFonts w:asciiTheme="majorHAnsi" w:eastAsiaTheme="majorEastAsia" w:hAnsiTheme="majorHAnsi" w:cstheme="majorBidi"/>
      <w:b/>
      <w:bCs/>
      <w:i/>
      <w:iCs/>
      <w:color w:val="404040" w:themeColor="text1" w:themeTint="BF"/>
    </w:rPr>
  </w:style>
  <w:style w:type="paragraph" w:styleId="Ingetavstnd">
    <w:name w:val="No Spacing"/>
    <w:link w:val="IngetavstndChar"/>
    <w:uiPriority w:val="1"/>
    <w:qFormat/>
    <w:rsid w:val="00352C0A"/>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352C0A"/>
    <w:rPr>
      <w:rFonts w:eastAsiaTheme="minorEastAsia"/>
      <w:lang w:eastAsia="sv-SE"/>
    </w:rPr>
  </w:style>
  <w:style w:type="paragraph" w:styleId="Ballongtext">
    <w:name w:val="Balloon Text"/>
    <w:basedOn w:val="Normal"/>
    <w:link w:val="BallongtextChar"/>
    <w:uiPriority w:val="99"/>
    <w:unhideWhenUsed/>
    <w:rsid w:val="00352C0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352C0A"/>
    <w:rPr>
      <w:rFonts w:ascii="Tahoma" w:hAnsi="Tahoma" w:cs="Tahoma"/>
      <w:sz w:val="16"/>
      <w:szCs w:val="16"/>
    </w:rPr>
  </w:style>
  <w:style w:type="paragraph" w:styleId="Innehllsfrteckningsrubrik">
    <w:name w:val="TOC Heading"/>
    <w:basedOn w:val="Rubrik1"/>
    <w:next w:val="Normal"/>
    <w:uiPriority w:val="39"/>
    <w:unhideWhenUsed/>
    <w:qFormat/>
    <w:rsid w:val="00352C0A"/>
    <w:pPr>
      <w:outlineLvl w:val="9"/>
    </w:pPr>
    <w:rPr>
      <w:lang w:eastAsia="sv-SE"/>
    </w:rPr>
  </w:style>
  <w:style w:type="paragraph" w:styleId="Innehll1">
    <w:name w:val="toc 1"/>
    <w:basedOn w:val="Normal"/>
    <w:next w:val="Normal"/>
    <w:autoRedefine/>
    <w:uiPriority w:val="39"/>
    <w:unhideWhenUsed/>
    <w:qFormat/>
    <w:rsid w:val="00352C0A"/>
    <w:pPr>
      <w:spacing w:after="100"/>
    </w:pPr>
  </w:style>
  <w:style w:type="character" w:styleId="Hyperlnk">
    <w:name w:val="Hyperlink"/>
    <w:basedOn w:val="Standardstycketeckensnitt"/>
    <w:uiPriority w:val="99"/>
    <w:unhideWhenUsed/>
    <w:rsid w:val="00352C0A"/>
    <w:rPr>
      <w:color w:val="0000FF" w:themeColor="hyperlink"/>
      <w:u w:val="single"/>
    </w:rPr>
  </w:style>
  <w:style w:type="table" w:styleId="Tabellrutnt">
    <w:name w:val="Table Grid"/>
    <w:basedOn w:val="Normaltabell"/>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llanmrklista2-dekorfrg1">
    <w:name w:val="Medium List 2 Accent 1"/>
    <w:basedOn w:val="Normaltabell"/>
    <w:uiPriority w:val="66"/>
    <w:rsid w:val="00352C0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justrutnt-dekorfrg1">
    <w:name w:val="Light Grid Accent 1"/>
    <w:basedOn w:val="Normaltabell"/>
    <w:uiPriority w:val="62"/>
    <w:rsid w:val="00352C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idhuvud">
    <w:name w:val="header"/>
    <w:basedOn w:val="Normal"/>
    <w:link w:val="SidhuvudChar"/>
    <w:uiPriority w:val="99"/>
    <w:unhideWhenUsed/>
    <w:rsid w:val="00352C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2C0A"/>
  </w:style>
  <w:style w:type="paragraph" w:styleId="Sidfot">
    <w:name w:val="footer"/>
    <w:basedOn w:val="Normal"/>
    <w:link w:val="SidfotChar"/>
    <w:uiPriority w:val="99"/>
    <w:unhideWhenUsed/>
    <w:rsid w:val="00352C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2C0A"/>
  </w:style>
  <w:style w:type="paragraph" w:styleId="Innehll2">
    <w:name w:val="toc 2"/>
    <w:basedOn w:val="Normal"/>
    <w:next w:val="Normal"/>
    <w:autoRedefine/>
    <w:uiPriority w:val="39"/>
    <w:unhideWhenUsed/>
    <w:qFormat/>
    <w:rsid w:val="00352C0A"/>
    <w:pPr>
      <w:spacing w:after="100"/>
      <w:ind w:left="220"/>
    </w:pPr>
    <w:rPr>
      <w:rFonts w:eastAsiaTheme="minorEastAsia"/>
      <w:lang w:eastAsia="sv-SE"/>
    </w:rPr>
  </w:style>
  <w:style w:type="paragraph" w:styleId="Innehll3">
    <w:name w:val="toc 3"/>
    <w:basedOn w:val="Normal"/>
    <w:next w:val="Normal"/>
    <w:autoRedefine/>
    <w:uiPriority w:val="39"/>
    <w:unhideWhenUsed/>
    <w:qFormat/>
    <w:rsid w:val="00352C0A"/>
    <w:pPr>
      <w:spacing w:after="100"/>
      <w:ind w:left="440"/>
    </w:pPr>
    <w:rPr>
      <w:rFonts w:eastAsiaTheme="minorEastAsia"/>
      <w:lang w:eastAsia="sv-SE"/>
    </w:rPr>
  </w:style>
  <w:style w:type="paragraph" w:customStyle="1" w:styleId="normal2">
    <w:name w:val="normal 2"/>
    <w:basedOn w:val="Normal"/>
    <w:rsid w:val="00352C0A"/>
    <w:pPr>
      <w:spacing w:before="60" w:after="0" w:line="240" w:lineRule="auto"/>
      <w:ind w:firstLine="284"/>
    </w:pPr>
    <w:rPr>
      <w:rFonts w:ascii="Garamond" w:eastAsia="Times New Roman" w:hAnsi="Garamond" w:cs="Times New Roman"/>
      <w:szCs w:val="20"/>
      <w:lang w:eastAsia="ar-SA"/>
    </w:rPr>
  </w:style>
  <w:style w:type="table" w:styleId="Ljusskuggning">
    <w:name w:val="Light Shading"/>
    <w:basedOn w:val="Normaltabell"/>
    <w:uiPriority w:val="60"/>
    <w:rsid w:val="00352C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llanmrktrutnt3-dekorfrg1">
    <w:name w:val="Medium Grid 3 Accent 1"/>
    <w:basedOn w:val="Normaltabell"/>
    <w:uiPriority w:val="69"/>
    <w:rsid w:val="00352C0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skuggning1-dekorfrg1">
    <w:name w:val="Medium Shading 1 Accent 1"/>
    <w:basedOn w:val="Normaltabell"/>
    <w:uiPriority w:val="63"/>
    <w:rsid w:val="00352C0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Frgatrutnt-dekorfrg1">
    <w:name w:val="Colorful Grid Accent 1"/>
    <w:basedOn w:val="Normaltabell"/>
    <w:uiPriority w:val="73"/>
    <w:rsid w:val="00352C0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juslista-dekorfrg1">
    <w:name w:val="Light List Accent 1"/>
    <w:basedOn w:val="Normaltabell"/>
    <w:uiPriority w:val="61"/>
    <w:rsid w:val="00352C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eskrivning">
    <w:name w:val="caption"/>
    <w:basedOn w:val="Normal"/>
    <w:next w:val="Normal"/>
    <w:unhideWhenUsed/>
    <w:qFormat/>
    <w:rsid w:val="00352C0A"/>
    <w:pPr>
      <w:spacing w:line="240" w:lineRule="auto"/>
    </w:pPr>
    <w:rPr>
      <w:b/>
      <w:bCs/>
      <w:color w:val="365F91" w:themeColor="accent1" w:themeShade="BF"/>
      <w:sz w:val="18"/>
      <w:szCs w:val="18"/>
    </w:rPr>
  </w:style>
  <w:style w:type="character" w:styleId="Fotnotsreferens">
    <w:name w:val="footnote reference"/>
    <w:uiPriority w:val="99"/>
    <w:rsid w:val="00352C0A"/>
    <w:rPr>
      <w:color w:val="auto"/>
      <w:vertAlign w:val="superscript"/>
    </w:rPr>
  </w:style>
  <w:style w:type="paragraph" w:styleId="Fotnotstext">
    <w:name w:val="footnote text"/>
    <w:aliases w:val=" Char,Char Char Char,Char"/>
    <w:basedOn w:val="Normal"/>
    <w:link w:val="FotnotstextChar"/>
    <w:autoRedefine/>
    <w:uiPriority w:val="99"/>
    <w:rsid w:val="00352C0A"/>
    <w:pPr>
      <w:spacing w:after="0" w:line="240" w:lineRule="auto"/>
    </w:pPr>
    <w:rPr>
      <w:rFonts w:ascii="Garamond" w:eastAsia="Times New Roman" w:hAnsi="Garamond" w:cs="Times New Roman"/>
      <w:sz w:val="20"/>
      <w:szCs w:val="20"/>
      <w:lang w:eastAsia="ar-SA"/>
    </w:rPr>
  </w:style>
  <w:style w:type="character" w:customStyle="1" w:styleId="FotnotstextChar">
    <w:name w:val="Fotnotstext Char"/>
    <w:aliases w:val=" Char Char,Char Char Char Char,Char Char"/>
    <w:basedOn w:val="Standardstycketeckensnitt"/>
    <w:link w:val="Fotnotstext"/>
    <w:uiPriority w:val="99"/>
    <w:rsid w:val="00352C0A"/>
    <w:rPr>
      <w:rFonts w:ascii="Garamond" w:eastAsia="Times New Roman" w:hAnsi="Garamond" w:cs="Times New Roman"/>
      <w:sz w:val="20"/>
      <w:szCs w:val="20"/>
      <w:lang w:eastAsia="ar-SA"/>
    </w:rPr>
  </w:style>
  <w:style w:type="character" w:styleId="Kommentarsreferens">
    <w:name w:val="annotation reference"/>
    <w:uiPriority w:val="99"/>
    <w:rsid w:val="00352C0A"/>
    <w:rPr>
      <w:sz w:val="16"/>
    </w:rPr>
  </w:style>
  <w:style w:type="paragraph" w:styleId="Kommentarer">
    <w:name w:val="annotation text"/>
    <w:basedOn w:val="Normal"/>
    <w:link w:val="KommentarerChar"/>
    <w:uiPriority w:val="99"/>
    <w:rsid w:val="00352C0A"/>
    <w:pPr>
      <w:spacing w:after="0" w:line="240" w:lineRule="auto"/>
    </w:pPr>
    <w:rPr>
      <w:rFonts w:ascii="Garamond" w:eastAsia="Times New Roman" w:hAnsi="Garamond" w:cs="Times New Roman"/>
      <w:szCs w:val="20"/>
      <w:lang w:eastAsia="ar-SA"/>
    </w:rPr>
  </w:style>
  <w:style w:type="character" w:customStyle="1" w:styleId="KommentarerChar">
    <w:name w:val="Kommentarer Char"/>
    <w:basedOn w:val="Standardstycketeckensnitt"/>
    <w:link w:val="Kommentarer"/>
    <w:uiPriority w:val="99"/>
    <w:rsid w:val="00352C0A"/>
    <w:rPr>
      <w:rFonts w:ascii="Garamond" w:eastAsia="Times New Roman" w:hAnsi="Garamond" w:cs="Times New Roman"/>
      <w:szCs w:val="20"/>
      <w:lang w:eastAsia="ar-SA"/>
    </w:rPr>
  </w:style>
  <w:style w:type="paragraph" w:styleId="Liststycke">
    <w:name w:val="List Paragraph"/>
    <w:basedOn w:val="Normal"/>
    <w:uiPriority w:val="34"/>
    <w:qFormat/>
    <w:rsid w:val="00352C0A"/>
    <w:pPr>
      <w:ind w:left="720"/>
      <w:contextualSpacing/>
    </w:pPr>
  </w:style>
  <w:style w:type="paragraph" w:styleId="Brdtext">
    <w:name w:val="Body Text"/>
    <w:basedOn w:val="Normal"/>
    <w:link w:val="BrdtextChar"/>
    <w:autoRedefine/>
    <w:rsid w:val="00352C0A"/>
    <w:pPr>
      <w:spacing w:before="60" w:after="0" w:line="240" w:lineRule="auto"/>
    </w:pPr>
    <w:rPr>
      <w:rFonts w:ascii="Arial" w:eastAsia="Times New Roman" w:hAnsi="Arial" w:cs="Times New Roman"/>
      <w:b/>
      <w:sz w:val="20"/>
      <w:szCs w:val="20"/>
      <w:lang w:eastAsia="ar-SA"/>
    </w:rPr>
  </w:style>
  <w:style w:type="character" w:customStyle="1" w:styleId="BrdtextChar">
    <w:name w:val="Brödtext Char"/>
    <w:basedOn w:val="Standardstycketeckensnitt"/>
    <w:link w:val="Brdtext"/>
    <w:rsid w:val="00352C0A"/>
    <w:rPr>
      <w:rFonts w:ascii="Arial" w:eastAsia="Times New Roman" w:hAnsi="Arial" w:cs="Times New Roman"/>
      <w:b/>
      <w:sz w:val="20"/>
      <w:szCs w:val="20"/>
      <w:lang w:eastAsia="ar-SA"/>
    </w:rPr>
  </w:style>
  <w:style w:type="paragraph" w:styleId="Brdtext3">
    <w:name w:val="Body Text 3"/>
    <w:basedOn w:val="Normal"/>
    <w:link w:val="Brdtext3Char"/>
    <w:rsid w:val="00352C0A"/>
    <w:pPr>
      <w:spacing w:after="120" w:line="240" w:lineRule="auto"/>
    </w:pPr>
    <w:rPr>
      <w:rFonts w:ascii="Garamond" w:eastAsia="Times New Roman" w:hAnsi="Garamond" w:cs="Times New Roman"/>
      <w:sz w:val="16"/>
      <w:szCs w:val="16"/>
      <w:lang w:eastAsia="ar-SA"/>
    </w:rPr>
  </w:style>
  <w:style w:type="character" w:customStyle="1" w:styleId="Brdtext3Char">
    <w:name w:val="Brödtext 3 Char"/>
    <w:basedOn w:val="Standardstycketeckensnitt"/>
    <w:link w:val="Brdtext3"/>
    <w:rsid w:val="00352C0A"/>
    <w:rPr>
      <w:rFonts w:ascii="Garamond" w:eastAsia="Times New Roman" w:hAnsi="Garamond" w:cs="Times New Roman"/>
      <w:sz w:val="16"/>
      <w:szCs w:val="16"/>
      <w:lang w:eastAsia="ar-SA"/>
    </w:rPr>
  </w:style>
  <w:style w:type="paragraph" w:styleId="Normalwebb">
    <w:name w:val="Normal (Web)"/>
    <w:aliases w:val="webb"/>
    <w:basedOn w:val="Normal"/>
    <w:semiHidden/>
    <w:unhideWhenUsed/>
    <w:rsid w:val="00352C0A"/>
    <w:pPr>
      <w:spacing w:after="240" w:line="240" w:lineRule="auto"/>
    </w:pPr>
    <w:rPr>
      <w:rFonts w:ascii="Verdana" w:eastAsia="Times New Roman" w:hAnsi="Verdana" w:cs="Times New Roman"/>
      <w:color w:val="333333"/>
      <w:sz w:val="24"/>
      <w:szCs w:val="24"/>
      <w:lang w:eastAsia="sv-SE"/>
    </w:rPr>
  </w:style>
  <w:style w:type="paragraph" w:customStyle="1" w:styleId="Default">
    <w:name w:val="Default"/>
    <w:rsid w:val="00352C0A"/>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Ingetavstnd1">
    <w:name w:val="Inget avstånd1"/>
    <w:link w:val="NoSpacingChar"/>
    <w:rsid w:val="00352C0A"/>
    <w:pPr>
      <w:spacing w:after="0" w:line="240" w:lineRule="auto"/>
    </w:pPr>
    <w:rPr>
      <w:rFonts w:ascii="Cambria" w:eastAsia="Cambria" w:hAnsi="Cambria" w:cs="Times New Roman"/>
      <w:lang w:eastAsia="sv-SE"/>
    </w:rPr>
  </w:style>
  <w:style w:type="character" w:customStyle="1" w:styleId="NoSpacingChar">
    <w:name w:val="No Spacing Char"/>
    <w:link w:val="Ingetavstnd1"/>
    <w:locked/>
    <w:rsid w:val="00352C0A"/>
    <w:rPr>
      <w:rFonts w:ascii="Cambria" w:eastAsia="Cambria" w:hAnsi="Cambria" w:cs="Times New Roman"/>
      <w:lang w:eastAsia="sv-SE"/>
    </w:rPr>
  </w:style>
  <w:style w:type="numbering" w:customStyle="1" w:styleId="Ingenlista1">
    <w:name w:val="Ingen lista1"/>
    <w:next w:val="Ingenlista"/>
    <w:uiPriority w:val="99"/>
    <w:semiHidden/>
    <w:unhideWhenUsed/>
    <w:rsid w:val="00352C0A"/>
  </w:style>
  <w:style w:type="table" w:customStyle="1" w:styleId="Ljuslista-dekorfrg11">
    <w:name w:val="Ljus lista - dekorfärg 11"/>
    <w:basedOn w:val="Normaltabell"/>
    <w:next w:val="Ljuslista-dekorfrg1"/>
    <w:uiPriority w:val="61"/>
    <w:rsid w:val="00352C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stycke1">
    <w:name w:val="Liststycke1"/>
    <w:basedOn w:val="Normal"/>
    <w:rsid w:val="00352C0A"/>
    <w:pPr>
      <w:ind w:left="720"/>
      <w:contextualSpacing/>
    </w:pPr>
    <w:rPr>
      <w:rFonts w:ascii="Cambria" w:eastAsia="Times New Roman" w:hAnsi="Cambria" w:cs="Times New Roman"/>
    </w:rPr>
  </w:style>
  <w:style w:type="paragraph" w:styleId="Kommentarsmne">
    <w:name w:val="annotation subject"/>
    <w:basedOn w:val="Kommentarer"/>
    <w:next w:val="Kommentarer"/>
    <w:link w:val="KommentarsmneChar"/>
    <w:rsid w:val="00352C0A"/>
    <w:rPr>
      <w:rFonts w:ascii="Times New Roman" w:hAnsi="Times New Roman"/>
      <w:b/>
      <w:bCs/>
      <w:sz w:val="20"/>
      <w:lang w:eastAsia="sv-SE"/>
    </w:rPr>
  </w:style>
  <w:style w:type="character" w:customStyle="1" w:styleId="KommentarsmneChar">
    <w:name w:val="Kommentarsämne Char"/>
    <w:basedOn w:val="KommentarerChar"/>
    <w:link w:val="Kommentarsmne"/>
    <w:rsid w:val="00352C0A"/>
    <w:rPr>
      <w:rFonts w:ascii="Times New Roman" w:eastAsia="Times New Roman" w:hAnsi="Times New Roman" w:cs="Times New Roman"/>
      <w:b/>
      <w:bCs/>
      <w:sz w:val="20"/>
      <w:szCs w:val="20"/>
      <w:lang w:eastAsia="sv-SE"/>
    </w:rPr>
  </w:style>
  <w:style w:type="paragraph" w:customStyle="1" w:styleId="Lptext">
    <w:name w:val="Löptext"/>
    <w:basedOn w:val="Normal"/>
    <w:rsid w:val="00352C0A"/>
    <w:pPr>
      <w:spacing w:after="0" w:line="240" w:lineRule="auto"/>
    </w:pPr>
    <w:rPr>
      <w:rFonts w:ascii="Times New Roman" w:eastAsia="Times New Roman" w:hAnsi="Times New Roman" w:cs="Times New Roman"/>
      <w:sz w:val="24"/>
      <w:szCs w:val="20"/>
      <w:lang w:eastAsia="sv-SE"/>
    </w:rPr>
  </w:style>
  <w:style w:type="table" w:customStyle="1" w:styleId="Tabellrutnt1">
    <w:name w:val="Tabellrutnät1"/>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rutnt2">
    <w:name w:val="Tabellrutnät2"/>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rutnt3">
    <w:name w:val="Tabellrutnät3"/>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ngenlista2">
    <w:name w:val="Ingen lista2"/>
    <w:next w:val="Ingenlista"/>
    <w:uiPriority w:val="99"/>
    <w:semiHidden/>
    <w:unhideWhenUsed/>
    <w:rsid w:val="00352C0A"/>
  </w:style>
  <w:style w:type="table" w:customStyle="1" w:styleId="Tabellrutnt4">
    <w:name w:val="Tabellrutnät4"/>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ngenlista3">
    <w:name w:val="Ingen lista3"/>
    <w:next w:val="Ingenlista"/>
    <w:uiPriority w:val="99"/>
    <w:semiHidden/>
    <w:unhideWhenUsed/>
    <w:rsid w:val="00352C0A"/>
  </w:style>
  <w:style w:type="table" w:customStyle="1" w:styleId="Tabellrutnt5">
    <w:name w:val="Tabellrutnät5"/>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ngenlista4">
    <w:name w:val="Ingen lista4"/>
    <w:next w:val="Ingenlista"/>
    <w:uiPriority w:val="99"/>
    <w:semiHidden/>
    <w:unhideWhenUsed/>
    <w:rsid w:val="00352C0A"/>
  </w:style>
  <w:style w:type="table" w:customStyle="1" w:styleId="Tabellrutnt6">
    <w:name w:val="Tabellrutnät6"/>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ngenlista5">
    <w:name w:val="Ingen lista5"/>
    <w:next w:val="Ingenlista"/>
    <w:uiPriority w:val="99"/>
    <w:semiHidden/>
    <w:unhideWhenUsed/>
    <w:rsid w:val="00352C0A"/>
  </w:style>
  <w:style w:type="table" w:customStyle="1" w:styleId="Tabellrutnt7">
    <w:name w:val="Tabellrutnät7"/>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52C0A"/>
    <w:pPr>
      <w:spacing w:after="0" w:line="240" w:lineRule="auto"/>
    </w:pPr>
  </w:style>
  <w:style w:type="table" w:styleId="Ljuslista-dekorfrg3">
    <w:name w:val="Light List Accent 3"/>
    <w:basedOn w:val="Normaltabell"/>
    <w:uiPriority w:val="61"/>
    <w:rsid w:val="00707B9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707B9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0A"/>
  </w:style>
  <w:style w:type="paragraph" w:styleId="Rubrik1">
    <w:name w:val="heading 1"/>
    <w:basedOn w:val="Normal"/>
    <w:next w:val="Normal"/>
    <w:link w:val="Rubrik1Char"/>
    <w:uiPriority w:val="9"/>
    <w:qFormat/>
    <w:rsid w:val="00352C0A"/>
    <w:pPr>
      <w:keepNext/>
      <w:keepLines/>
      <w:spacing w:before="480" w:after="0"/>
      <w:outlineLvl w:val="0"/>
    </w:pPr>
    <w:rPr>
      <w:rFonts w:asciiTheme="majorHAnsi" w:eastAsiaTheme="majorEastAsia" w:hAnsiTheme="majorHAnsi" w:cstheme="majorBidi"/>
      <w:b/>
      <w:bCs/>
      <w:caps/>
      <w:color w:val="365F91" w:themeColor="accent1" w:themeShade="BF"/>
      <w:sz w:val="28"/>
      <w:szCs w:val="28"/>
    </w:rPr>
  </w:style>
  <w:style w:type="paragraph" w:styleId="Rubrik2">
    <w:name w:val="heading 2"/>
    <w:basedOn w:val="Normal"/>
    <w:next w:val="Normal"/>
    <w:link w:val="Rubrik2Char"/>
    <w:uiPriority w:val="9"/>
    <w:unhideWhenUsed/>
    <w:qFormat/>
    <w:rsid w:val="00352C0A"/>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paragraph" w:styleId="Rubrik3">
    <w:name w:val="heading 3"/>
    <w:basedOn w:val="Normal"/>
    <w:next w:val="Normal"/>
    <w:link w:val="Rubrik3Char"/>
    <w:unhideWhenUsed/>
    <w:qFormat/>
    <w:rsid w:val="00352C0A"/>
    <w:pPr>
      <w:keepNext/>
      <w:keepLines/>
      <w:spacing w:before="200" w:after="0"/>
      <w:outlineLvl w:val="2"/>
    </w:pPr>
    <w:rPr>
      <w:rFonts w:asciiTheme="majorHAnsi" w:eastAsiaTheme="majorEastAsia" w:hAnsiTheme="majorHAnsi" w:cstheme="majorBidi"/>
      <w:b/>
      <w:bCs/>
      <w:color w:val="365F91" w:themeColor="accent1" w:themeShade="BF"/>
    </w:rPr>
  </w:style>
  <w:style w:type="paragraph" w:styleId="Rubrik4">
    <w:name w:val="heading 4"/>
    <w:basedOn w:val="Normal"/>
    <w:next w:val="Normal"/>
    <w:link w:val="Rubrik4Char"/>
    <w:unhideWhenUsed/>
    <w:qFormat/>
    <w:rsid w:val="00352C0A"/>
    <w:pPr>
      <w:keepNext/>
      <w:keepLines/>
      <w:spacing w:before="200" w:after="0"/>
      <w:outlineLvl w:val="3"/>
    </w:pPr>
    <w:rPr>
      <w:rFonts w:asciiTheme="majorHAnsi" w:eastAsiaTheme="majorEastAsia" w:hAnsiTheme="majorHAnsi" w:cstheme="majorBidi"/>
      <w:b/>
      <w:bCs/>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52C0A"/>
    <w:rPr>
      <w:rFonts w:asciiTheme="majorHAnsi" w:eastAsiaTheme="majorEastAsia" w:hAnsiTheme="majorHAnsi" w:cstheme="majorBidi"/>
      <w:b/>
      <w:bCs/>
      <w:caps/>
      <w:color w:val="365F91" w:themeColor="accent1" w:themeShade="BF"/>
      <w:sz w:val="28"/>
      <w:szCs w:val="28"/>
    </w:rPr>
  </w:style>
  <w:style w:type="character" w:customStyle="1" w:styleId="Rubrik2Char">
    <w:name w:val="Rubrik 2 Char"/>
    <w:basedOn w:val="Standardstycketeckensnitt"/>
    <w:link w:val="Rubrik2"/>
    <w:uiPriority w:val="9"/>
    <w:rsid w:val="00352C0A"/>
    <w:rPr>
      <w:rFonts w:asciiTheme="majorHAnsi" w:eastAsiaTheme="majorEastAsia" w:hAnsiTheme="majorHAnsi" w:cstheme="majorBidi"/>
      <w:b/>
      <w:bCs/>
      <w:color w:val="365F91" w:themeColor="accent1" w:themeShade="BF"/>
      <w:sz w:val="26"/>
      <w:szCs w:val="26"/>
    </w:rPr>
  </w:style>
  <w:style w:type="character" w:customStyle="1" w:styleId="Rubrik3Char">
    <w:name w:val="Rubrik 3 Char"/>
    <w:basedOn w:val="Standardstycketeckensnitt"/>
    <w:link w:val="Rubrik3"/>
    <w:rsid w:val="00352C0A"/>
    <w:rPr>
      <w:rFonts w:asciiTheme="majorHAnsi" w:eastAsiaTheme="majorEastAsia" w:hAnsiTheme="majorHAnsi" w:cstheme="majorBidi"/>
      <w:b/>
      <w:bCs/>
      <w:color w:val="365F91" w:themeColor="accent1" w:themeShade="BF"/>
    </w:rPr>
  </w:style>
  <w:style w:type="character" w:customStyle="1" w:styleId="Rubrik4Char">
    <w:name w:val="Rubrik 4 Char"/>
    <w:basedOn w:val="Standardstycketeckensnitt"/>
    <w:link w:val="Rubrik4"/>
    <w:rsid w:val="00352C0A"/>
    <w:rPr>
      <w:rFonts w:asciiTheme="majorHAnsi" w:eastAsiaTheme="majorEastAsia" w:hAnsiTheme="majorHAnsi" w:cstheme="majorBidi"/>
      <w:b/>
      <w:bCs/>
      <w:i/>
      <w:iCs/>
      <w:color w:val="404040" w:themeColor="text1" w:themeTint="BF"/>
    </w:rPr>
  </w:style>
  <w:style w:type="paragraph" w:styleId="Ingetavstnd">
    <w:name w:val="No Spacing"/>
    <w:link w:val="IngetavstndChar"/>
    <w:uiPriority w:val="1"/>
    <w:qFormat/>
    <w:rsid w:val="00352C0A"/>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352C0A"/>
    <w:rPr>
      <w:rFonts w:eastAsiaTheme="minorEastAsia"/>
      <w:lang w:eastAsia="sv-SE"/>
    </w:rPr>
  </w:style>
  <w:style w:type="paragraph" w:styleId="Ballongtext">
    <w:name w:val="Balloon Text"/>
    <w:basedOn w:val="Normal"/>
    <w:link w:val="BallongtextChar"/>
    <w:uiPriority w:val="99"/>
    <w:unhideWhenUsed/>
    <w:rsid w:val="00352C0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352C0A"/>
    <w:rPr>
      <w:rFonts w:ascii="Tahoma" w:hAnsi="Tahoma" w:cs="Tahoma"/>
      <w:sz w:val="16"/>
      <w:szCs w:val="16"/>
    </w:rPr>
  </w:style>
  <w:style w:type="paragraph" w:styleId="Innehllsfrteckningsrubrik">
    <w:name w:val="TOC Heading"/>
    <w:basedOn w:val="Rubrik1"/>
    <w:next w:val="Normal"/>
    <w:uiPriority w:val="39"/>
    <w:unhideWhenUsed/>
    <w:qFormat/>
    <w:rsid w:val="00352C0A"/>
    <w:pPr>
      <w:outlineLvl w:val="9"/>
    </w:pPr>
    <w:rPr>
      <w:lang w:eastAsia="sv-SE"/>
    </w:rPr>
  </w:style>
  <w:style w:type="paragraph" w:styleId="Innehll1">
    <w:name w:val="toc 1"/>
    <w:basedOn w:val="Normal"/>
    <w:next w:val="Normal"/>
    <w:autoRedefine/>
    <w:uiPriority w:val="39"/>
    <w:unhideWhenUsed/>
    <w:qFormat/>
    <w:rsid w:val="00352C0A"/>
    <w:pPr>
      <w:spacing w:after="100"/>
    </w:pPr>
  </w:style>
  <w:style w:type="character" w:styleId="Hyperlnk">
    <w:name w:val="Hyperlink"/>
    <w:basedOn w:val="Standardstycketeckensnitt"/>
    <w:uiPriority w:val="99"/>
    <w:unhideWhenUsed/>
    <w:rsid w:val="00352C0A"/>
    <w:rPr>
      <w:color w:val="0000FF" w:themeColor="hyperlink"/>
      <w:u w:val="single"/>
    </w:rPr>
  </w:style>
  <w:style w:type="table" w:styleId="Tabellrutnt">
    <w:name w:val="Table Grid"/>
    <w:basedOn w:val="Normaltabell"/>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llanmrklista2-dekorfrg1">
    <w:name w:val="Medium List 2 Accent 1"/>
    <w:basedOn w:val="Normaltabell"/>
    <w:uiPriority w:val="66"/>
    <w:rsid w:val="00352C0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justrutnt-dekorfrg1">
    <w:name w:val="Light Grid Accent 1"/>
    <w:basedOn w:val="Normaltabell"/>
    <w:uiPriority w:val="62"/>
    <w:rsid w:val="00352C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idhuvud">
    <w:name w:val="header"/>
    <w:basedOn w:val="Normal"/>
    <w:link w:val="SidhuvudChar"/>
    <w:uiPriority w:val="99"/>
    <w:unhideWhenUsed/>
    <w:rsid w:val="00352C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2C0A"/>
  </w:style>
  <w:style w:type="paragraph" w:styleId="Sidfot">
    <w:name w:val="footer"/>
    <w:basedOn w:val="Normal"/>
    <w:link w:val="SidfotChar"/>
    <w:uiPriority w:val="99"/>
    <w:unhideWhenUsed/>
    <w:rsid w:val="00352C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2C0A"/>
  </w:style>
  <w:style w:type="paragraph" w:styleId="Innehll2">
    <w:name w:val="toc 2"/>
    <w:basedOn w:val="Normal"/>
    <w:next w:val="Normal"/>
    <w:autoRedefine/>
    <w:uiPriority w:val="39"/>
    <w:unhideWhenUsed/>
    <w:qFormat/>
    <w:rsid w:val="00352C0A"/>
    <w:pPr>
      <w:spacing w:after="100"/>
      <w:ind w:left="220"/>
    </w:pPr>
    <w:rPr>
      <w:rFonts w:eastAsiaTheme="minorEastAsia"/>
      <w:lang w:eastAsia="sv-SE"/>
    </w:rPr>
  </w:style>
  <w:style w:type="paragraph" w:styleId="Innehll3">
    <w:name w:val="toc 3"/>
    <w:basedOn w:val="Normal"/>
    <w:next w:val="Normal"/>
    <w:autoRedefine/>
    <w:uiPriority w:val="39"/>
    <w:unhideWhenUsed/>
    <w:qFormat/>
    <w:rsid w:val="00352C0A"/>
    <w:pPr>
      <w:spacing w:after="100"/>
      <w:ind w:left="440"/>
    </w:pPr>
    <w:rPr>
      <w:rFonts w:eastAsiaTheme="minorEastAsia"/>
      <w:lang w:eastAsia="sv-SE"/>
    </w:rPr>
  </w:style>
  <w:style w:type="paragraph" w:customStyle="1" w:styleId="normal2">
    <w:name w:val="normal 2"/>
    <w:basedOn w:val="Normal"/>
    <w:rsid w:val="00352C0A"/>
    <w:pPr>
      <w:spacing w:before="60" w:after="0" w:line="240" w:lineRule="auto"/>
      <w:ind w:firstLine="284"/>
    </w:pPr>
    <w:rPr>
      <w:rFonts w:ascii="Garamond" w:eastAsia="Times New Roman" w:hAnsi="Garamond" w:cs="Times New Roman"/>
      <w:szCs w:val="20"/>
      <w:lang w:eastAsia="ar-SA"/>
    </w:rPr>
  </w:style>
  <w:style w:type="table" w:styleId="Ljusskuggning">
    <w:name w:val="Light Shading"/>
    <w:basedOn w:val="Normaltabell"/>
    <w:uiPriority w:val="60"/>
    <w:rsid w:val="00352C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llanmrktrutnt3-dekorfrg1">
    <w:name w:val="Medium Grid 3 Accent 1"/>
    <w:basedOn w:val="Normaltabell"/>
    <w:uiPriority w:val="69"/>
    <w:rsid w:val="00352C0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skuggning1-dekorfrg1">
    <w:name w:val="Medium Shading 1 Accent 1"/>
    <w:basedOn w:val="Normaltabell"/>
    <w:uiPriority w:val="63"/>
    <w:rsid w:val="00352C0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Frgatrutnt-dekorfrg1">
    <w:name w:val="Colorful Grid Accent 1"/>
    <w:basedOn w:val="Normaltabell"/>
    <w:uiPriority w:val="73"/>
    <w:rsid w:val="00352C0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juslista-dekorfrg1">
    <w:name w:val="Light List Accent 1"/>
    <w:basedOn w:val="Normaltabell"/>
    <w:uiPriority w:val="61"/>
    <w:rsid w:val="00352C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eskrivning">
    <w:name w:val="caption"/>
    <w:basedOn w:val="Normal"/>
    <w:next w:val="Normal"/>
    <w:unhideWhenUsed/>
    <w:qFormat/>
    <w:rsid w:val="00352C0A"/>
    <w:pPr>
      <w:spacing w:line="240" w:lineRule="auto"/>
    </w:pPr>
    <w:rPr>
      <w:b/>
      <w:bCs/>
      <w:color w:val="365F91" w:themeColor="accent1" w:themeShade="BF"/>
      <w:sz w:val="18"/>
      <w:szCs w:val="18"/>
    </w:rPr>
  </w:style>
  <w:style w:type="character" w:styleId="Fotnotsreferens">
    <w:name w:val="footnote reference"/>
    <w:uiPriority w:val="99"/>
    <w:rsid w:val="00352C0A"/>
    <w:rPr>
      <w:color w:val="auto"/>
      <w:vertAlign w:val="superscript"/>
    </w:rPr>
  </w:style>
  <w:style w:type="paragraph" w:styleId="Fotnotstext">
    <w:name w:val="footnote text"/>
    <w:aliases w:val=" Char,Char Char Char,Char"/>
    <w:basedOn w:val="Normal"/>
    <w:link w:val="FotnotstextChar"/>
    <w:autoRedefine/>
    <w:uiPriority w:val="99"/>
    <w:rsid w:val="00352C0A"/>
    <w:pPr>
      <w:spacing w:after="0" w:line="240" w:lineRule="auto"/>
    </w:pPr>
    <w:rPr>
      <w:rFonts w:ascii="Garamond" w:eastAsia="Times New Roman" w:hAnsi="Garamond" w:cs="Times New Roman"/>
      <w:sz w:val="20"/>
      <w:szCs w:val="20"/>
      <w:lang w:eastAsia="ar-SA"/>
    </w:rPr>
  </w:style>
  <w:style w:type="character" w:customStyle="1" w:styleId="FotnotstextChar">
    <w:name w:val="Fotnotstext Char"/>
    <w:aliases w:val=" Char Char,Char Char Char Char,Char Char"/>
    <w:basedOn w:val="Standardstycketeckensnitt"/>
    <w:link w:val="Fotnotstext"/>
    <w:uiPriority w:val="99"/>
    <w:rsid w:val="00352C0A"/>
    <w:rPr>
      <w:rFonts w:ascii="Garamond" w:eastAsia="Times New Roman" w:hAnsi="Garamond" w:cs="Times New Roman"/>
      <w:sz w:val="20"/>
      <w:szCs w:val="20"/>
      <w:lang w:eastAsia="ar-SA"/>
    </w:rPr>
  </w:style>
  <w:style w:type="character" w:styleId="Kommentarsreferens">
    <w:name w:val="annotation reference"/>
    <w:uiPriority w:val="99"/>
    <w:rsid w:val="00352C0A"/>
    <w:rPr>
      <w:sz w:val="16"/>
    </w:rPr>
  </w:style>
  <w:style w:type="paragraph" w:styleId="Kommentarer">
    <w:name w:val="annotation text"/>
    <w:basedOn w:val="Normal"/>
    <w:link w:val="KommentarerChar"/>
    <w:uiPriority w:val="99"/>
    <w:rsid w:val="00352C0A"/>
    <w:pPr>
      <w:spacing w:after="0" w:line="240" w:lineRule="auto"/>
    </w:pPr>
    <w:rPr>
      <w:rFonts w:ascii="Garamond" w:eastAsia="Times New Roman" w:hAnsi="Garamond" w:cs="Times New Roman"/>
      <w:szCs w:val="20"/>
      <w:lang w:eastAsia="ar-SA"/>
    </w:rPr>
  </w:style>
  <w:style w:type="character" w:customStyle="1" w:styleId="KommentarerChar">
    <w:name w:val="Kommentarer Char"/>
    <w:basedOn w:val="Standardstycketeckensnitt"/>
    <w:link w:val="Kommentarer"/>
    <w:uiPriority w:val="99"/>
    <w:rsid w:val="00352C0A"/>
    <w:rPr>
      <w:rFonts w:ascii="Garamond" w:eastAsia="Times New Roman" w:hAnsi="Garamond" w:cs="Times New Roman"/>
      <w:szCs w:val="20"/>
      <w:lang w:eastAsia="ar-SA"/>
    </w:rPr>
  </w:style>
  <w:style w:type="paragraph" w:styleId="Liststycke">
    <w:name w:val="List Paragraph"/>
    <w:basedOn w:val="Normal"/>
    <w:uiPriority w:val="34"/>
    <w:qFormat/>
    <w:rsid w:val="00352C0A"/>
    <w:pPr>
      <w:ind w:left="720"/>
      <w:contextualSpacing/>
    </w:pPr>
  </w:style>
  <w:style w:type="paragraph" w:styleId="Brdtext">
    <w:name w:val="Body Text"/>
    <w:basedOn w:val="Normal"/>
    <w:link w:val="BrdtextChar"/>
    <w:autoRedefine/>
    <w:rsid w:val="00352C0A"/>
    <w:pPr>
      <w:spacing w:before="60" w:after="0" w:line="240" w:lineRule="auto"/>
    </w:pPr>
    <w:rPr>
      <w:rFonts w:ascii="Arial" w:eastAsia="Times New Roman" w:hAnsi="Arial" w:cs="Times New Roman"/>
      <w:b/>
      <w:sz w:val="20"/>
      <w:szCs w:val="20"/>
      <w:lang w:eastAsia="ar-SA"/>
    </w:rPr>
  </w:style>
  <w:style w:type="character" w:customStyle="1" w:styleId="BrdtextChar">
    <w:name w:val="Brödtext Char"/>
    <w:basedOn w:val="Standardstycketeckensnitt"/>
    <w:link w:val="Brdtext"/>
    <w:rsid w:val="00352C0A"/>
    <w:rPr>
      <w:rFonts w:ascii="Arial" w:eastAsia="Times New Roman" w:hAnsi="Arial" w:cs="Times New Roman"/>
      <w:b/>
      <w:sz w:val="20"/>
      <w:szCs w:val="20"/>
      <w:lang w:eastAsia="ar-SA"/>
    </w:rPr>
  </w:style>
  <w:style w:type="paragraph" w:styleId="Brdtext3">
    <w:name w:val="Body Text 3"/>
    <w:basedOn w:val="Normal"/>
    <w:link w:val="Brdtext3Char"/>
    <w:rsid w:val="00352C0A"/>
    <w:pPr>
      <w:spacing w:after="120" w:line="240" w:lineRule="auto"/>
    </w:pPr>
    <w:rPr>
      <w:rFonts w:ascii="Garamond" w:eastAsia="Times New Roman" w:hAnsi="Garamond" w:cs="Times New Roman"/>
      <w:sz w:val="16"/>
      <w:szCs w:val="16"/>
      <w:lang w:eastAsia="ar-SA"/>
    </w:rPr>
  </w:style>
  <w:style w:type="character" w:customStyle="1" w:styleId="Brdtext3Char">
    <w:name w:val="Brödtext 3 Char"/>
    <w:basedOn w:val="Standardstycketeckensnitt"/>
    <w:link w:val="Brdtext3"/>
    <w:rsid w:val="00352C0A"/>
    <w:rPr>
      <w:rFonts w:ascii="Garamond" w:eastAsia="Times New Roman" w:hAnsi="Garamond" w:cs="Times New Roman"/>
      <w:sz w:val="16"/>
      <w:szCs w:val="16"/>
      <w:lang w:eastAsia="ar-SA"/>
    </w:rPr>
  </w:style>
  <w:style w:type="paragraph" w:styleId="Normalwebb">
    <w:name w:val="Normal (Web)"/>
    <w:aliases w:val="webb"/>
    <w:basedOn w:val="Normal"/>
    <w:semiHidden/>
    <w:unhideWhenUsed/>
    <w:rsid w:val="00352C0A"/>
    <w:pPr>
      <w:spacing w:after="240" w:line="240" w:lineRule="auto"/>
    </w:pPr>
    <w:rPr>
      <w:rFonts w:ascii="Verdana" w:eastAsia="Times New Roman" w:hAnsi="Verdana" w:cs="Times New Roman"/>
      <w:color w:val="333333"/>
      <w:sz w:val="24"/>
      <w:szCs w:val="24"/>
      <w:lang w:eastAsia="sv-SE"/>
    </w:rPr>
  </w:style>
  <w:style w:type="paragraph" w:customStyle="1" w:styleId="Default">
    <w:name w:val="Default"/>
    <w:rsid w:val="00352C0A"/>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Ingetavstnd1">
    <w:name w:val="Inget avstånd1"/>
    <w:link w:val="NoSpacingChar"/>
    <w:rsid w:val="00352C0A"/>
    <w:pPr>
      <w:spacing w:after="0" w:line="240" w:lineRule="auto"/>
    </w:pPr>
    <w:rPr>
      <w:rFonts w:ascii="Cambria" w:eastAsia="Cambria" w:hAnsi="Cambria" w:cs="Times New Roman"/>
      <w:lang w:eastAsia="sv-SE"/>
    </w:rPr>
  </w:style>
  <w:style w:type="character" w:customStyle="1" w:styleId="NoSpacingChar">
    <w:name w:val="No Spacing Char"/>
    <w:link w:val="Ingetavstnd1"/>
    <w:locked/>
    <w:rsid w:val="00352C0A"/>
    <w:rPr>
      <w:rFonts w:ascii="Cambria" w:eastAsia="Cambria" w:hAnsi="Cambria" w:cs="Times New Roman"/>
      <w:lang w:eastAsia="sv-SE"/>
    </w:rPr>
  </w:style>
  <w:style w:type="numbering" w:customStyle="1" w:styleId="Ingenlista1">
    <w:name w:val="Ingen lista1"/>
    <w:next w:val="Ingenlista"/>
    <w:uiPriority w:val="99"/>
    <w:semiHidden/>
    <w:unhideWhenUsed/>
    <w:rsid w:val="00352C0A"/>
  </w:style>
  <w:style w:type="table" w:customStyle="1" w:styleId="Ljuslista-dekorfrg11">
    <w:name w:val="Ljus lista - dekorfärg 11"/>
    <w:basedOn w:val="Normaltabell"/>
    <w:next w:val="Ljuslista-dekorfrg1"/>
    <w:uiPriority w:val="61"/>
    <w:rsid w:val="00352C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stycke1">
    <w:name w:val="Liststycke1"/>
    <w:basedOn w:val="Normal"/>
    <w:rsid w:val="00352C0A"/>
    <w:pPr>
      <w:ind w:left="720"/>
      <w:contextualSpacing/>
    </w:pPr>
    <w:rPr>
      <w:rFonts w:ascii="Cambria" w:eastAsia="Times New Roman" w:hAnsi="Cambria" w:cs="Times New Roman"/>
    </w:rPr>
  </w:style>
  <w:style w:type="paragraph" w:styleId="Kommentarsmne">
    <w:name w:val="annotation subject"/>
    <w:basedOn w:val="Kommentarer"/>
    <w:next w:val="Kommentarer"/>
    <w:link w:val="KommentarsmneChar"/>
    <w:rsid w:val="00352C0A"/>
    <w:rPr>
      <w:rFonts w:ascii="Times New Roman" w:hAnsi="Times New Roman"/>
      <w:b/>
      <w:bCs/>
      <w:sz w:val="20"/>
      <w:lang w:eastAsia="sv-SE"/>
    </w:rPr>
  </w:style>
  <w:style w:type="character" w:customStyle="1" w:styleId="KommentarsmneChar">
    <w:name w:val="Kommentarsämne Char"/>
    <w:basedOn w:val="KommentarerChar"/>
    <w:link w:val="Kommentarsmne"/>
    <w:rsid w:val="00352C0A"/>
    <w:rPr>
      <w:rFonts w:ascii="Times New Roman" w:eastAsia="Times New Roman" w:hAnsi="Times New Roman" w:cs="Times New Roman"/>
      <w:b/>
      <w:bCs/>
      <w:sz w:val="20"/>
      <w:szCs w:val="20"/>
      <w:lang w:eastAsia="sv-SE"/>
    </w:rPr>
  </w:style>
  <w:style w:type="paragraph" w:customStyle="1" w:styleId="Lptext">
    <w:name w:val="Löptext"/>
    <w:basedOn w:val="Normal"/>
    <w:rsid w:val="00352C0A"/>
    <w:pPr>
      <w:spacing w:after="0" w:line="240" w:lineRule="auto"/>
    </w:pPr>
    <w:rPr>
      <w:rFonts w:ascii="Times New Roman" w:eastAsia="Times New Roman" w:hAnsi="Times New Roman" w:cs="Times New Roman"/>
      <w:sz w:val="24"/>
      <w:szCs w:val="20"/>
      <w:lang w:eastAsia="sv-SE"/>
    </w:rPr>
  </w:style>
  <w:style w:type="table" w:customStyle="1" w:styleId="Tabellrutnt1">
    <w:name w:val="Tabellrutnät1"/>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rutnt2">
    <w:name w:val="Tabellrutnät2"/>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rutnt3">
    <w:name w:val="Tabellrutnät3"/>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ngenlista2">
    <w:name w:val="Ingen lista2"/>
    <w:next w:val="Ingenlista"/>
    <w:uiPriority w:val="99"/>
    <w:semiHidden/>
    <w:unhideWhenUsed/>
    <w:rsid w:val="00352C0A"/>
  </w:style>
  <w:style w:type="table" w:customStyle="1" w:styleId="Tabellrutnt4">
    <w:name w:val="Tabellrutnät4"/>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ngenlista3">
    <w:name w:val="Ingen lista3"/>
    <w:next w:val="Ingenlista"/>
    <w:uiPriority w:val="99"/>
    <w:semiHidden/>
    <w:unhideWhenUsed/>
    <w:rsid w:val="00352C0A"/>
  </w:style>
  <w:style w:type="table" w:customStyle="1" w:styleId="Tabellrutnt5">
    <w:name w:val="Tabellrutnät5"/>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ngenlista4">
    <w:name w:val="Ingen lista4"/>
    <w:next w:val="Ingenlista"/>
    <w:uiPriority w:val="99"/>
    <w:semiHidden/>
    <w:unhideWhenUsed/>
    <w:rsid w:val="00352C0A"/>
  </w:style>
  <w:style w:type="table" w:customStyle="1" w:styleId="Tabellrutnt6">
    <w:name w:val="Tabellrutnät6"/>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ngenlista5">
    <w:name w:val="Ingen lista5"/>
    <w:next w:val="Ingenlista"/>
    <w:uiPriority w:val="99"/>
    <w:semiHidden/>
    <w:unhideWhenUsed/>
    <w:rsid w:val="00352C0A"/>
  </w:style>
  <w:style w:type="table" w:customStyle="1" w:styleId="Tabellrutnt7">
    <w:name w:val="Tabellrutnät7"/>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52C0A"/>
    <w:pPr>
      <w:spacing w:after="0" w:line="240" w:lineRule="auto"/>
    </w:pPr>
  </w:style>
  <w:style w:type="table" w:styleId="Ljuslista-dekorfrg3">
    <w:name w:val="Light List Accent 3"/>
    <w:basedOn w:val="Normaltabell"/>
    <w:uiPriority w:val="61"/>
    <w:rsid w:val="00707B9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707B9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877">
      <w:bodyDiv w:val="1"/>
      <w:marLeft w:val="0"/>
      <w:marRight w:val="0"/>
      <w:marTop w:val="0"/>
      <w:marBottom w:val="0"/>
      <w:divBdr>
        <w:top w:val="none" w:sz="0" w:space="0" w:color="auto"/>
        <w:left w:val="none" w:sz="0" w:space="0" w:color="auto"/>
        <w:bottom w:val="none" w:sz="0" w:space="0" w:color="auto"/>
        <w:right w:val="none" w:sz="0" w:space="0" w:color="auto"/>
      </w:divBdr>
    </w:div>
    <w:div w:id="98334821">
      <w:bodyDiv w:val="1"/>
      <w:marLeft w:val="0"/>
      <w:marRight w:val="0"/>
      <w:marTop w:val="0"/>
      <w:marBottom w:val="0"/>
      <w:divBdr>
        <w:top w:val="none" w:sz="0" w:space="0" w:color="auto"/>
        <w:left w:val="none" w:sz="0" w:space="0" w:color="auto"/>
        <w:bottom w:val="none" w:sz="0" w:space="0" w:color="auto"/>
        <w:right w:val="none" w:sz="0" w:space="0" w:color="auto"/>
      </w:divBdr>
    </w:div>
    <w:div w:id="904992960">
      <w:bodyDiv w:val="1"/>
      <w:marLeft w:val="0"/>
      <w:marRight w:val="0"/>
      <w:marTop w:val="0"/>
      <w:marBottom w:val="0"/>
      <w:divBdr>
        <w:top w:val="none" w:sz="0" w:space="0" w:color="auto"/>
        <w:left w:val="none" w:sz="0" w:space="0" w:color="auto"/>
        <w:bottom w:val="none" w:sz="0" w:space="0" w:color="auto"/>
        <w:right w:val="none" w:sz="0" w:space="0" w:color="auto"/>
      </w:divBdr>
    </w:div>
    <w:div w:id="1498038223">
      <w:bodyDiv w:val="1"/>
      <w:marLeft w:val="0"/>
      <w:marRight w:val="0"/>
      <w:marTop w:val="0"/>
      <w:marBottom w:val="0"/>
      <w:divBdr>
        <w:top w:val="none" w:sz="0" w:space="0" w:color="auto"/>
        <w:left w:val="none" w:sz="0" w:space="0" w:color="auto"/>
        <w:bottom w:val="none" w:sz="0" w:space="0" w:color="auto"/>
        <w:right w:val="none" w:sz="0" w:space="0" w:color="auto"/>
      </w:divBdr>
    </w:div>
    <w:div w:id="1607345356">
      <w:bodyDiv w:val="1"/>
      <w:marLeft w:val="0"/>
      <w:marRight w:val="0"/>
      <w:marTop w:val="0"/>
      <w:marBottom w:val="0"/>
      <w:divBdr>
        <w:top w:val="none" w:sz="0" w:space="0" w:color="auto"/>
        <w:left w:val="none" w:sz="0" w:space="0" w:color="auto"/>
        <w:bottom w:val="none" w:sz="0" w:space="0" w:color="auto"/>
        <w:right w:val="none" w:sz="0" w:space="0" w:color="auto"/>
      </w:divBdr>
    </w:div>
    <w:div w:id="196302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A863-1919-4611-B032-08CEB35D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3236</Words>
  <Characters>17156</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vicst</dc:creator>
  <cp:lastModifiedBy>vicst</cp:lastModifiedBy>
  <cp:revision>14</cp:revision>
  <dcterms:created xsi:type="dcterms:W3CDTF">2014-02-25T07:25:00Z</dcterms:created>
  <dcterms:modified xsi:type="dcterms:W3CDTF">2014-02-25T09:59:00Z</dcterms:modified>
</cp:coreProperties>
</file>